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093C2479"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501F0">
            <w:rPr>
              <w:rStyle w:val="Style1"/>
            </w:rPr>
            <w:t>0068</w:t>
          </w:r>
        </w:sdtContent>
      </w:sdt>
    </w:p>
    <w:p w14:paraId="520878E5" w14:textId="4F3C8D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501F0">
            <w:rPr>
              <w:rStyle w:val="Style1"/>
            </w:rPr>
            <w:t xml:space="preserve">Ischemic Vascular Disease (IVD): Use of Aspirin or </w:t>
          </w:r>
          <w:proofErr w:type="gramStart"/>
          <w:r w:rsidR="006501F0">
            <w:rPr>
              <w:rStyle w:val="Style1"/>
            </w:rPr>
            <w:t>Another</w:t>
          </w:r>
          <w:proofErr w:type="gramEnd"/>
          <w:r w:rsidR="006501F0">
            <w:rPr>
              <w:rStyle w:val="Style1"/>
            </w:rPr>
            <w:t xml:space="preserve"> Antiplatelet</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7357832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6-30T00:00:00Z">
            <w:dateFormat w:val="M/d/yyyy"/>
            <w:lid w:val="en-US"/>
            <w:storeMappedDataAs w:val="dateTime"/>
            <w:calendar w:val="gregorian"/>
          </w:date>
        </w:sdtPr>
        <w:sdtEndPr>
          <w:rPr>
            <w:rStyle w:val="DefaultParagraphFont"/>
            <w:noProof/>
            <w:color w:val="auto"/>
            <w:u w:val="none"/>
          </w:rPr>
        </w:sdtEndPr>
        <w:sdtContent>
          <w:r w:rsidR="00A11044">
            <w:rPr>
              <w:rStyle w:val="Style2"/>
            </w:rPr>
            <w:t>6/30/2015</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77777777" w:rsidR="00496AF8" w:rsidRPr="003B1CC5" w:rsidRDefault="00E43172"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2087907" w14:textId="77777777" w:rsidR="00236F87" w:rsidRPr="003B1CC5" w:rsidRDefault="00E43172"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E43172"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05ABAEC4" w:rsidR="00496AF8" w:rsidRPr="003B1CC5" w:rsidRDefault="00E43172"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501F0">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8015D4">
            <w:rPr>
              <w:rStyle w:val="Style2"/>
              <w:rFonts w:cstheme="minorHAnsi"/>
            </w:rPr>
            <w:t>Routine u</w:t>
          </w:r>
          <w:r w:rsidR="001943A7">
            <w:rPr>
              <w:rStyle w:val="Style2"/>
              <w:rFonts w:cstheme="minorHAnsi"/>
            </w:rPr>
            <w:t>se of aspirin or another antiplatelet</w:t>
          </w:r>
        </w:sdtContent>
      </w:sdt>
    </w:p>
    <w:p w14:paraId="5208790B" w14:textId="77777777" w:rsidR="00496AF8" w:rsidRPr="003B1CC5" w:rsidRDefault="00E4317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E4317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3281DBA1" w14:textId="77777777" w:rsidR="001943A7" w:rsidRDefault="001943A7" w:rsidP="002E2177">
      <w:pPr>
        <w:ind w:left="432" w:hanging="432"/>
        <w:rPr>
          <w:color w:val="0000FF"/>
        </w:rPr>
      </w:pP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2087913" w14:textId="77777777" w:rsidR="00D14F0B" w:rsidRPr="003B1CC5" w:rsidRDefault="00D14F0B" w:rsidP="002E2177">
      <w:pPr>
        <w:ind w:left="0" w:firstLine="0"/>
        <w:rPr>
          <w:iCs/>
        </w:rPr>
      </w:pP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Default="007C1887" w:rsidP="002E2177">
      <w:pPr>
        <w:ind w:left="0" w:firstLine="0"/>
      </w:pPr>
    </w:p>
    <w:p w14:paraId="3AD38924" w14:textId="01F299BB" w:rsidR="001943A7" w:rsidRPr="001943A7" w:rsidRDefault="001943A7" w:rsidP="002E2177">
      <w:pPr>
        <w:ind w:left="0" w:firstLine="0"/>
        <w:rPr>
          <w:color w:val="0000FF"/>
        </w:rPr>
      </w:pPr>
      <w:r>
        <w:rPr>
          <w:color w:val="0000FF"/>
        </w:rPr>
        <w:t>Patient</w:t>
      </w:r>
      <w:r w:rsidR="00D11EA0">
        <w:rPr>
          <w:color w:val="0000FF"/>
        </w:rPr>
        <w:t xml:space="preserve"> </w:t>
      </w:r>
      <w:r>
        <w:rPr>
          <w:color w:val="0000FF"/>
        </w:rPr>
        <w:t xml:space="preserve">18 years of age </w:t>
      </w:r>
      <w:r w:rsidR="00D11EA0">
        <w:rPr>
          <w:color w:val="0000FF"/>
        </w:rPr>
        <w:t>or</w:t>
      </w:r>
      <w:r>
        <w:rPr>
          <w:color w:val="0000FF"/>
        </w:rPr>
        <w:t xml:space="preserve"> older &gt;&gt;&gt;&gt; Diagnosed with cardiovascular disease (either through having an event like an AMI, CABG, or PCI or by having a diagnosis consistent with ischemic vascular disease in the outpatient setting) &gt;&gt;&gt;&gt; Health provider discusses benefits of antiplatelet therapy with patient &gt;&gt;&gt;&gt; Health care provider prescribes aspirin or another antiplatelet &gt;&gt;&gt;&gt; Patient use</w:t>
      </w:r>
      <w:r w:rsidR="00D11EA0">
        <w:rPr>
          <w:color w:val="0000FF"/>
        </w:rPr>
        <w:t>s</w:t>
      </w:r>
      <w:r>
        <w:rPr>
          <w:color w:val="0000FF"/>
        </w:rPr>
        <w:t xml:space="preserve"> </w:t>
      </w:r>
      <w:r w:rsidR="00D11EA0">
        <w:rPr>
          <w:color w:val="0000FF"/>
        </w:rPr>
        <w:t>antiplatelet medication</w:t>
      </w:r>
      <w:r w:rsidR="00D56F02">
        <w:rPr>
          <w:color w:val="0000FF"/>
        </w:rPr>
        <w:t xml:space="preserve"> routinely</w:t>
      </w:r>
      <w:r w:rsidR="00D11EA0">
        <w:rPr>
          <w:color w:val="0000FF"/>
        </w:rPr>
        <w:t xml:space="preserve"> &gt;&gt;&gt;&gt; Patient has significant reduction in risk of having an AMI, stroke, vascular complication, or dying.</w:t>
      </w:r>
    </w:p>
    <w:p w14:paraId="6040FD82" w14:textId="77777777" w:rsidR="001943A7" w:rsidRPr="003B1CC5" w:rsidRDefault="001943A7"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207C9018" w:rsidR="00FD4D82" w:rsidRPr="003B1CC5" w:rsidRDefault="00E43172"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6501F0">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E43172"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46A56DF2" w:rsidR="007573F0" w:rsidRPr="003B1CC5" w:rsidRDefault="00E43172"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A21A05">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E43172"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Default="00D53405" w:rsidP="002E2177">
      <w:pPr>
        <w:ind w:left="0" w:firstLine="0"/>
        <w:rPr>
          <w:rFonts w:cs="Arial"/>
          <w:sz w:val="20"/>
          <w:szCs w:val="20"/>
        </w:rPr>
      </w:pPr>
    </w:p>
    <w:p w14:paraId="2C7AA258" w14:textId="7C01AB8E" w:rsidR="00B62423" w:rsidRDefault="00B62423" w:rsidP="00B62423">
      <w:pPr>
        <w:ind w:left="0" w:firstLine="0"/>
        <w:rPr>
          <w:rFonts w:cs="Arial"/>
          <w:color w:val="0000FF"/>
        </w:rPr>
      </w:pPr>
      <w:r w:rsidRPr="00B62423">
        <w:rPr>
          <w:rFonts w:cs="Arial"/>
          <w:color w:val="0000FF"/>
        </w:rPr>
        <w:t xml:space="preserve">Smith SC Jr, Benjamin EJ, </w:t>
      </w:r>
      <w:proofErr w:type="spellStart"/>
      <w:r w:rsidRPr="00B62423">
        <w:rPr>
          <w:rFonts w:cs="Arial"/>
          <w:color w:val="0000FF"/>
        </w:rPr>
        <w:t>Bonow</w:t>
      </w:r>
      <w:proofErr w:type="spellEnd"/>
      <w:r w:rsidRPr="00B62423">
        <w:rPr>
          <w:rFonts w:cs="Arial"/>
          <w:color w:val="0000FF"/>
        </w:rPr>
        <w:t xml:space="preserve"> RO, Braun LT, </w:t>
      </w:r>
      <w:proofErr w:type="spellStart"/>
      <w:r w:rsidRPr="00B62423">
        <w:rPr>
          <w:rFonts w:cs="Arial"/>
          <w:color w:val="0000FF"/>
        </w:rPr>
        <w:t>Creager</w:t>
      </w:r>
      <w:proofErr w:type="spellEnd"/>
      <w:r w:rsidRPr="00B62423">
        <w:rPr>
          <w:rFonts w:cs="Arial"/>
          <w:color w:val="0000FF"/>
        </w:rPr>
        <w:t xml:space="preserve"> MA, Franklin BA, Gibbons RJ, Grundy SM, </w:t>
      </w:r>
      <w:proofErr w:type="spellStart"/>
      <w:r w:rsidRPr="00B62423">
        <w:rPr>
          <w:rFonts w:cs="Arial"/>
          <w:color w:val="0000FF"/>
        </w:rPr>
        <w:t>Hiratzka</w:t>
      </w:r>
      <w:proofErr w:type="spellEnd"/>
      <w:r w:rsidRPr="00B62423">
        <w:rPr>
          <w:rFonts w:cs="Arial"/>
          <w:color w:val="0000FF"/>
        </w:rPr>
        <w:t xml:space="preserve"> LF, Jones DW, Lloyd-Jones DM, </w:t>
      </w:r>
      <w:proofErr w:type="spellStart"/>
      <w:r w:rsidRPr="00B62423">
        <w:rPr>
          <w:rFonts w:cs="Arial"/>
          <w:color w:val="0000FF"/>
        </w:rPr>
        <w:t>Minissian</w:t>
      </w:r>
      <w:proofErr w:type="spellEnd"/>
      <w:r w:rsidRPr="00B62423">
        <w:rPr>
          <w:rFonts w:cs="Arial"/>
          <w:color w:val="0000FF"/>
        </w:rPr>
        <w:t xml:space="preserve"> M, </w:t>
      </w:r>
      <w:proofErr w:type="spellStart"/>
      <w:r w:rsidRPr="00B62423">
        <w:rPr>
          <w:rFonts w:cs="Arial"/>
          <w:color w:val="0000FF"/>
        </w:rPr>
        <w:t>Mosca</w:t>
      </w:r>
      <w:proofErr w:type="spellEnd"/>
      <w:r w:rsidRPr="00B62423">
        <w:rPr>
          <w:rFonts w:cs="Arial"/>
          <w:color w:val="0000FF"/>
        </w:rPr>
        <w:t xml:space="preserve"> L, Peterson ED, Sacco RL, </w:t>
      </w:r>
      <w:proofErr w:type="spellStart"/>
      <w:r w:rsidRPr="00B62423">
        <w:rPr>
          <w:rFonts w:cs="Arial"/>
          <w:color w:val="0000FF"/>
        </w:rPr>
        <w:t>Spertus</w:t>
      </w:r>
      <w:proofErr w:type="spellEnd"/>
      <w:r w:rsidRPr="00B62423">
        <w:rPr>
          <w:rFonts w:cs="Arial"/>
          <w:color w:val="0000FF"/>
        </w:rPr>
        <w:t xml:space="preserve"> J, Stein JH, </w:t>
      </w:r>
      <w:proofErr w:type="spellStart"/>
      <w:r w:rsidRPr="00B62423">
        <w:rPr>
          <w:rFonts w:cs="Arial"/>
          <w:color w:val="0000FF"/>
        </w:rPr>
        <w:t>Taubert</w:t>
      </w:r>
      <w:proofErr w:type="spellEnd"/>
      <w:r w:rsidRPr="00B62423">
        <w:rPr>
          <w:rFonts w:cs="Arial"/>
          <w:color w:val="0000FF"/>
        </w:rPr>
        <w:t xml:space="preserve"> KA. AHA/ACCF secondary prevention and risk reduction therapy for patients with coronary and other atherosclerotic vascular disease: 2011 update: a guideline from the American Heart Association and American College of Cardiology Foundation. Circulation. 2011</w:t>
      </w:r>
      <w:proofErr w:type="gramStart"/>
      <w:r w:rsidRPr="00B62423">
        <w:rPr>
          <w:rFonts w:cs="Arial"/>
          <w:color w:val="0000FF"/>
        </w:rPr>
        <w:t>;124</w:t>
      </w:r>
      <w:proofErr w:type="gramEnd"/>
      <w:r w:rsidRPr="00B62423">
        <w:rPr>
          <w:rFonts w:cs="Arial"/>
          <w:color w:val="0000FF"/>
        </w:rPr>
        <w:t>:</w:t>
      </w:r>
      <w:r w:rsidRPr="00B62423">
        <w:rPr>
          <w:color w:val="0000FF"/>
        </w:rPr>
        <w:t xml:space="preserve"> </w:t>
      </w:r>
      <w:r w:rsidRPr="00B62423">
        <w:rPr>
          <w:rFonts w:cs="Arial"/>
          <w:color w:val="0000FF"/>
        </w:rPr>
        <w:t>00-00.</w:t>
      </w:r>
    </w:p>
    <w:p w14:paraId="3A9EFEBC" w14:textId="5277E118" w:rsidR="009A58D2" w:rsidRDefault="00E43172" w:rsidP="008015D4">
      <w:pPr>
        <w:pStyle w:val="ListParagraph"/>
        <w:numPr>
          <w:ilvl w:val="0"/>
          <w:numId w:val="10"/>
        </w:numPr>
        <w:rPr>
          <w:rFonts w:cs="Arial"/>
          <w:color w:val="0000FF"/>
        </w:rPr>
      </w:pPr>
      <w:hyperlink r:id="rId18" w:history="1">
        <w:r w:rsidR="008015D4" w:rsidRPr="00A05065">
          <w:rPr>
            <w:rStyle w:val="Hyperlink"/>
            <w:rFonts w:cs="Arial"/>
          </w:rPr>
          <w:t>http://circ.ahajournals.org/content/124/22/2458</w:t>
        </w:r>
      </w:hyperlink>
    </w:p>
    <w:p w14:paraId="414DAE8A" w14:textId="77777777" w:rsidR="008015D4" w:rsidRDefault="008015D4" w:rsidP="00B62423">
      <w:pPr>
        <w:ind w:left="0" w:firstLine="0"/>
        <w:rPr>
          <w:rFonts w:cs="Arial"/>
          <w:color w:val="0000FF"/>
        </w:rPr>
      </w:pPr>
    </w:p>
    <w:p w14:paraId="009F4C97" w14:textId="70F3B6F4" w:rsidR="009A58D2" w:rsidRDefault="009A58D2" w:rsidP="009A58D2">
      <w:pPr>
        <w:ind w:left="0" w:firstLine="0"/>
        <w:rPr>
          <w:rFonts w:cs="Arial"/>
          <w:color w:val="0000FF"/>
        </w:rPr>
      </w:pPr>
      <w:proofErr w:type="spellStart"/>
      <w:r w:rsidRPr="009A58D2">
        <w:rPr>
          <w:rFonts w:cs="Arial"/>
          <w:color w:val="0000FF"/>
        </w:rPr>
        <w:t>Kernan</w:t>
      </w:r>
      <w:proofErr w:type="spellEnd"/>
      <w:r w:rsidRPr="009A58D2">
        <w:rPr>
          <w:rFonts w:cs="Arial"/>
          <w:color w:val="0000FF"/>
        </w:rPr>
        <w:t xml:space="preserve"> WN, </w:t>
      </w:r>
      <w:proofErr w:type="spellStart"/>
      <w:r w:rsidRPr="009A58D2">
        <w:rPr>
          <w:rFonts w:cs="Arial"/>
          <w:color w:val="0000FF"/>
        </w:rPr>
        <w:t>Ovbiagele</w:t>
      </w:r>
      <w:proofErr w:type="spellEnd"/>
      <w:r w:rsidRPr="009A58D2">
        <w:rPr>
          <w:rFonts w:cs="Arial"/>
          <w:color w:val="0000FF"/>
        </w:rPr>
        <w:t xml:space="preserve"> B, Black HR, </w:t>
      </w:r>
      <w:proofErr w:type="spellStart"/>
      <w:r w:rsidRPr="009A58D2">
        <w:rPr>
          <w:rFonts w:cs="Arial"/>
          <w:color w:val="0000FF"/>
        </w:rPr>
        <w:t>Bravata</w:t>
      </w:r>
      <w:proofErr w:type="spellEnd"/>
      <w:r w:rsidRPr="009A58D2">
        <w:rPr>
          <w:rFonts w:cs="Arial"/>
          <w:color w:val="0000FF"/>
        </w:rPr>
        <w:t xml:space="preserve"> DM, </w:t>
      </w:r>
      <w:proofErr w:type="spellStart"/>
      <w:r w:rsidRPr="009A58D2">
        <w:rPr>
          <w:rFonts w:cs="Arial"/>
          <w:color w:val="0000FF"/>
        </w:rPr>
        <w:t>Chimowitz</w:t>
      </w:r>
      <w:proofErr w:type="spellEnd"/>
      <w:r w:rsidRPr="009A58D2">
        <w:rPr>
          <w:rFonts w:cs="Arial"/>
          <w:color w:val="0000FF"/>
        </w:rPr>
        <w:t xml:space="preserve"> MI,</w:t>
      </w:r>
      <w:r>
        <w:rPr>
          <w:rFonts w:cs="Arial"/>
          <w:color w:val="0000FF"/>
        </w:rPr>
        <w:t xml:space="preserve"> </w:t>
      </w:r>
      <w:proofErr w:type="spellStart"/>
      <w:r w:rsidRPr="009A58D2">
        <w:rPr>
          <w:rFonts w:cs="Arial"/>
          <w:color w:val="0000FF"/>
        </w:rPr>
        <w:t>Ezekowitz</w:t>
      </w:r>
      <w:proofErr w:type="spellEnd"/>
      <w:r w:rsidRPr="009A58D2">
        <w:rPr>
          <w:rFonts w:cs="Arial"/>
          <w:color w:val="0000FF"/>
        </w:rPr>
        <w:t xml:space="preserve"> MD, Fang MC, Fisher M, </w:t>
      </w:r>
      <w:proofErr w:type="spellStart"/>
      <w:r w:rsidRPr="009A58D2">
        <w:rPr>
          <w:rFonts w:cs="Arial"/>
          <w:color w:val="0000FF"/>
        </w:rPr>
        <w:t>Furie</w:t>
      </w:r>
      <w:proofErr w:type="spellEnd"/>
      <w:r w:rsidRPr="009A58D2">
        <w:rPr>
          <w:rFonts w:cs="Arial"/>
          <w:color w:val="0000FF"/>
        </w:rPr>
        <w:t xml:space="preserve"> KL, Heck DV, Johnston SC, </w:t>
      </w:r>
      <w:proofErr w:type="spellStart"/>
      <w:r w:rsidRPr="009A58D2">
        <w:rPr>
          <w:rFonts w:cs="Arial"/>
          <w:color w:val="0000FF"/>
        </w:rPr>
        <w:t>Kasner</w:t>
      </w:r>
      <w:proofErr w:type="spellEnd"/>
      <w:r w:rsidRPr="009A58D2">
        <w:rPr>
          <w:rFonts w:cs="Arial"/>
          <w:color w:val="0000FF"/>
        </w:rPr>
        <w:t xml:space="preserve"> SE, </w:t>
      </w:r>
      <w:proofErr w:type="spellStart"/>
      <w:r w:rsidRPr="009A58D2">
        <w:rPr>
          <w:rFonts w:cs="Arial"/>
          <w:color w:val="0000FF"/>
        </w:rPr>
        <w:t>Kittner</w:t>
      </w:r>
      <w:proofErr w:type="spellEnd"/>
      <w:r w:rsidRPr="009A58D2">
        <w:rPr>
          <w:rFonts w:cs="Arial"/>
          <w:color w:val="0000FF"/>
        </w:rPr>
        <w:t xml:space="preserve"> SJ, Mitchell PH, Rich MW, Richardson D, </w:t>
      </w:r>
      <w:proofErr w:type="spellStart"/>
      <w:r w:rsidRPr="009A58D2">
        <w:rPr>
          <w:rFonts w:cs="Arial"/>
          <w:color w:val="0000FF"/>
        </w:rPr>
        <w:t>Schwamm</w:t>
      </w:r>
      <w:proofErr w:type="spellEnd"/>
      <w:r w:rsidRPr="009A58D2">
        <w:rPr>
          <w:rFonts w:cs="Arial"/>
          <w:color w:val="0000FF"/>
        </w:rPr>
        <w:t xml:space="preserve"> LH,</w:t>
      </w:r>
      <w:r>
        <w:rPr>
          <w:rFonts w:cs="Arial"/>
          <w:color w:val="0000FF"/>
        </w:rPr>
        <w:t xml:space="preserve"> </w:t>
      </w:r>
      <w:r w:rsidRPr="009A58D2">
        <w:rPr>
          <w:rFonts w:cs="Arial"/>
          <w:color w:val="0000FF"/>
        </w:rPr>
        <w:t>Wilson JA; on behalf of the American Heart Association Stroke Council, Council on Cardiovascular and Stroke Nursing, Council on Clinical Cardiology,</w:t>
      </w:r>
      <w:r>
        <w:rPr>
          <w:rFonts w:cs="Arial"/>
          <w:color w:val="0000FF"/>
        </w:rPr>
        <w:t xml:space="preserve"> </w:t>
      </w:r>
      <w:r w:rsidRPr="009A58D2">
        <w:rPr>
          <w:rFonts w:cs="Arial"/>
          <w:color w:val="0000FF"/>
        </w:rPr>
        <w:t>and Council on Peripheral Vascular Disease. Guidelines for the prevention of stroke in patients with stroke and transient ischemic attack: a guideline for</w:t>
      </w:r>
      <w:r>
        <w:rPr>
          <w:rFonts w:cs="Arial"/>
          <w:color w:val="0000FF"/>
        </w:rPr>
        <w:t xml:space="preserve"> </w:t>
      </w:r>
      <w:r w:rsidRPr="009A58D2">
        <w:rPr>
          <w:rFonts w:cs="Arial"/>
          <w:color w:val="0000FF"/>
        </w:rPr>
        <w:t>healthcare professionals from the American Heart Association/American Stroke Association. Stroke. 2014</w:t>
      </w:r>
      <w:proofErr w:type="gramStart"/>
      <w:r w:rsidRPr="009A58D2">
        <w:rPr>
          <w:rFonts w:cs="Arial"/>
          <w:color w:val="0000FF"/>
        </w:rPr>
        <w:t>;45:2160</w:t>
      </w:r>
      <w:proofErr w:type="gramEnd"/>
      <w:r w:rsidRPr="009A58D2">
        <w:rPr>
          <w:rFonts w:cs="Arial"/>
          <w:color w:val="0000FF"/>
        </w:rPr>
        <w:t>–2236</w:t>
      </w:r>
      <w:r>
        <w:rPr>
          <w:rFonts w:cs="Arial"/>
          <w:color w:val="0000FF"/>
        </w:rPr>
        <w:t xml:space="preserve">. </w:t>
      </w:r>
    </w:p>
    <w:p w14:paraId="24F26DC9" w14:textId="5F84F5FD" w:rsidR="008015D4" w:rsidRDefault="00E43172" w:rsidP="008015D4">
      <w:pPr>
        <w:pStyle w:val="ListParagraph"/>
        <w:numPr>
          <w:ilvl w:val="0"/>
          <w:numId w:val="10"/>
        </w:numPr>
        <w:rPr>
          <w:rFonts w:cs="Arial"/>
          <w:color w:val="0000FF"/>
        </w:rPr>
      </w:pPr>
      <w:hyperlink r:id="rId19" w:history="1">
        <w:r w:rsidR="008015D4" w:rsidRPr="00A05065">
          <w:rPr>
            <w:rStyle w:val="Hyperlink"/>
            <w:rFonts w:cs="Arial"/>
          </w:rPr>
          <w:t>http://stroke.ahajournals.org/content/early/2014/04/30/STR.0000000000000024</w:t>
        </w:r>
      </w:hyperlink>
    </w:p>
    <w:p w14:paraId="52087924" w14:textId="77777777" w:rsidR="006F4B7F" w:rsidRPr="003B1CC5" w:rsidRDefault="006F4B7F" w:rsidP="002E2177">
      <w:pPr>
        <w:ind w:left="0" w:firstLine="0"/>
        <w:rPr>
          <w:color w:val="0000FF"/>
        </w:rPr>
      </w:pPr>
    </w:p>
    <w:p w14:paraId="52087925" w14:textId="77777777" w:rsidR="00D14F0B"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4DD87E35" w14:textId="77E3BFA5" w:rsidR="00B62423" w:rsidRPr="00B62423" w:rsidRDefault="00B62423" w:rsidP="002E2177">
      <w:pPr>
        <w:ind w:left="0" w:firstLine="0"/>
        <w:rPr>
          <w:color w:val="0000FF"/>
        </w:rPr>
      </w:pPr>
      <w:r w:rsidRPr="00B62423">
        <w:rPr>
          <w:color w:val="0000FF"/>
        </w:rPr>
        <w:t xml:space="preserve">AHA/ACCF </w:t>
      </w:r>
      <w:r>
        <w:rPr>
          <w:color w:val="0000FF"/>
        </w:rPr>
        <w:t>S</w:t>
      </w:r>
      <w:r w:rsidRPr="00B62423">
        <w:rPr>
          <w:color w:val="0000FF"/>
        </w:rPr>
        <w:t xml:space="preserve">econdary </w:t>
      </w:r>
      <w:r>
        <w:rPr>
          <w:color w:val="0000FF"/>
        </w:rPr>
        <w:t>P</w:t>
      </w:r>
      <w:r w:rsidRPr="00B62423">
        <w:rPr>
          <w:color w:val="0000FF"/>
        </w:rPr>
        <w:t xml:space="preserve">revention and </w:t>
      </w:r>
      <w:r>
        <w:rPr>
          <w:color w:val="0000FF"/>
        </w:rPr>
        <w:t>R</w:t>
      </w:r>
      <w:r w:rsidRPr="00B62423">
        <w:rPr>
          <w:color w:val="0000FF"/>
        </w:rPr>
        <w:t xml:space="preserve">isk </w:t>
      </w:r>
      <w:r>
        <w:rPr>
          <w:color w:val="0000FF"/>
        </w:rPr>
        <w:t>R</w:t>
      </w:r>
      <w:r w:rsidRPr="00B62423">
        <w:rPr>
          <w:color w:val="0000FF"/>
        </w:rPr>
        <w:t xml:space="preserve">eduction </w:t>
      </w:r>
      <w:r>
        <w:rPr>
          <w:color w:val="0000FF"/>
        </w:rPr>
        <w:t>T</w:t>
      </w:r>
      <w:r w:rsidRPr="00B62423">
        <w:rPr>
          <w:color w:val="0000FF"/>
        </w:rPr>
        <w:t xml:space="preserve">herapy for </w:t>
      </w:r>
      <w:r>
        <w:rPr>
          <w:color w:val="0000FF"/>
        </w:rPr>
        <w:t>P</w:t>
      </w:r>
      <w:r w:rsidRPr="00B62423">
        <w:rPr>
          <w:color w:val="0000FF"/>
        </w:rPr>
        <w:t xml:space="preserve">atients with </w:t>
      </w:r>
      <w:r>
        <w:rPr>
          <w:color w:val="0000FF"/>
        </w:rPr>
        <w:t>C</w:t>
      </w:r>
      <w:r w:rsidRPr="00B62423">
        <w:rPr>
          <w:color w:val="0000FF"/>
        </w:rPr>
        <w:t xml:space="preserve">oronary and </w:t>
      </w:r>
      <w:r>
        <w:rPr>
          <w:color w:val="0000FF"/>
        </w:rPr>
        <w:t>O</w:t>
      </w:r>
      <w:r w:rsidRPr="00B62423">
        <w:rPr>
          <w:color w:val="0000FF"/>
        </w:rPr>
        <w:t xml:space="preserve">ther </w:t>
      </w:r>
      <w:r>
        <w:rPr>
          <w:color w:val="0000FF"/>
        </w:rPr>
        <w:t>A</w:t>
      </w:r>
      <w:r w:rsidRPr="00B62423">
        <w:rPr>
          <w:color w:val="0000FF"/>
        </w:rPr>
        <w:t xml:space="preserve">therosclerotic </w:t>
      </w:r>
      <w:r>
        <w:rPr>
          <w:color w:val="0000FF"/>
        </w:rPr>
        <w:t>V</w:t>
      </w:r>
      <w:r w:rsidRPr="00B62423">
        <w:rPr>
          <w:color w:val="0000FF"/>
        </w:rPr>
        <w:t xml:space="preserve">ascular </w:t>
      </w:r>
      <w:r>
        <w:rPr>
          <w:color w:val="0000FF"/>
        </w:rPr>
        <w:t>D</w:t>
      </w:r>
      <w:r w:rsidRPr="00B62423">
        <w:rPr>
          <w:color w:val="0000FF"/>
        </w:rPr>
        <w:t xml:space="preserve">isease: 2011 </w:t>
      </w:r>
      <w:r>
        <w:rPr>
          <w:color w:val="0000FF"/>
        </w:rPr>
        <w:t>U</w:t>
      </w:r>
      <w:r w:rsidRPr="00B62423">
        <w:rPr>
          <w:color w:val="0000FF"/>
        </w:rPr>
        <w:t>pdate</w:t>
      </w:r>
    </w:p>
    <w:tbl>
      <w:tblPr>
        <w:tblStyle w:val="TableGrid"/>
        <w:tblW w:w="0" w:type="auto"/>
        <w:tblLook w:val="04A0" w:firstRow="1" w:lastRow="0" w:firstColumn="1" w:lastColumn="0" w:noHBand="0" w:noVBand="1"/>
      </w:tblPr>
      <w:tblGrid>
        <w:gridCol w:w="1775"/>
        <w:gridCol w:w="1888"/>
        <w:gridCol w:w="5687"/>
      </w:tblGrid>
      <w:tr w:rsidR="00B62423" w:rsidRPr="0062698B" w14:paraId="1D307149" w14:textId="77777777" w:rsidTr="0062698B">
        <w:trPr>
          <w:cantSplit/>
          <w:tblHeader/>
        </w:trPr>
        <w:tc>
          <w:tcPr>
            <w:tcW w:w="1818" w:type="dxa"/>
          </w:tcPr>
          <w:p w14:paraId="7B50AA21" w14:textId="773C24DC" w:rsidR="00B62423" w:rsidRPr="0062698B" w:rsidRDefault="00B62423" w:rsidP="004F1A0D">
            <w:pPr>
              <w:ind w:left="0" w:firstLine="0"/>
              <w:jc w:val="center"/>
              <w:rPr>
                <w:b/>
                <w:color w:val="0000FF"/>
              </w:rPr>
            </w:pPr>
            <w:r w:rsidRPr="0062698B">
              <w:rPr>
                <w:b/>
                <w:color w:val="0000FF"/>
              </w:rPr>
              <w:t>Page Number</w:t>
            </w:r>
          </w:p>
        </w:tc>
        <w:tc>
          <w:tcPr>
            <w:tcW w:w="1890" w:type="dxa"/>
          </w:tcPr>
          <w:p w14:paraId="609BBBAF" w14:textId="595EF8F1" w:rsidR="00B62423" w:rsidRPr="0062698B" w:rsidRDefault="00B62423" w:rsidP="004F1A0D">
            <w:pPr>
              <w:ind w:left="0" w:firstLine="0"/>
              <w:jc w:val="center"/>
              <w:rPr>
                <w:b/>
                <w:color w:val="0000FF"/>
              </w:rPr>
            </w:pPr>
            <w:r w:rsidRPr="0062698B">
              <w:rPr>
                <w:b/>
                <w:color w:val="0000FF"/>
              </w:rPr>
              <w:t>Recommendation</w:t>
            </w:r>
          </w:p>
        </w:tc>
        <w:tc>
          <w:tcPr>
            <w:tcW w:w="5868" w:type="dxa"/>
          </w:tcPr>
          <w:p w14:paraId="517C009D" w14:textId="2B811A7B" w:rsidR="00B62423" w:rsidRPr="0062698B" w:rsidRDefault="00B62423" w:rsidP="004F1A0D">
            <w:pPr>
              <w:ind w:left="0" w:firstLine="0"/>
              <w:jc w:val="center"/>
              <w:rPr>
                <w:b/>
                <w:color w:val="0000FF"/>
              </w:rPr>
            </w:pPr>
            <w:r w:rsidRPr="0062698B">
              <w:rPr>
                <w:b/>
                <w:color w:val="0000FF"/>
              </w:rPr>
              <w:t>Verbatim Quote</w:t>
            </w:r>
          </w:p>
        </w:tc>
      </w:tr>
      <w:tr w:rsidR="00B62423" w:rsidRPr="00B62423" w14:paraId="2365C376" w14:textId="77777777" w:rsidTr="0064178E">
        <w:trPr>
          <w:trHeight w:val="1709"/>
        </w:trPr>
        <w:tc>
          <w:tcPr>
            <w:tcW w:w="1818" w:type="dxa"/>
          </w:tcPr>
          <w:p w14:paraId="6676C6B9" w14:textId="12E1ADDD" w:rsidR="00B62423" w:rsidRPr="00B62423" w:rsidRDefault="00B62423" w:rsidP="004F1A0D">
            <w:pPr>
              <w:ind w:left="0" w:firstLine="0"/>
              <w:jc w:val="center"/>
              <w:rPr>
                <w:color w:val="0000FF"/>
              </w:rPr>
            </w:pPr>
            <w:r>
              <w:rPr>
                <w:color w:val="0000FF"/>
              </w:rPr>
              <w:t>3</w:t>
            </w:r>
          </w:p>
        </w:tc>
        <w:tc>
          <w:tcPr>
            <w:tcW w:w="1890" w:type="dxa"/>
          </w:tcPr>
          <w:p w14:paraId="75B292CD" w14:textId="76D7AE34" w:rsidR="00B62423" w:rsidRPr="00B62423" w:rsidRDefault="00B62423" w:rsidP="004F1A0D">
            <w:pPr>
              <w:ind w:left="0" w:firstLine="0"/>
              <w:jc w:val="center"/>
              <w:rPr>
                <w:color w:val="0000FF"/>
              </w:rPr>
            </w:pPr>
            <w:r>
              <w:rPr>
                <w:color w:val="0000FF"/>
              </w:rPr>
              <w:t>1</w:t>
            </w:r>
          </w:p>
        </w:tc>
        <w:tc>
          <w:tcPr>
            <w:tcW w:w="5868" w:type="dxa"/>
          </w:tcPr>
          <w:p w14:paraId="4FE1D3B6" w14:textId="0BD55AE6" w:rsidR="00B62423" w:rsidRPr="00B62423" w:rsidRDefault="00B62423" w:rsidP="00B62423">
            <w:pPr>
              <w:ind w:left="0" w:firstLine="0"/>
              <w:rPr>
                <w:color w:val="0000FF"/>
              </w:rPr>
            </w:pPr>
            <w:r w:rsidRPr="00B62423">
              <w:rPr>
                <w:color w:val="0000FF"/>
              </w:rPr>
              <w:t xml:space="preserve">Aspirin 75–162 mg daily is recommended in all patients with coronary artery disease unless </w:t>
            </w:r>
            <w:r>
              <w:rPr>
                <w:color w:val="0000FF"/>
              </w:rPr>
              <w:t>c</w:t>
            </w:r>
            <w:r w:rsidRPr="00B62423">
              <w:rPr>
                <w:color w:val="0000FF"/>
              </w:rPr>
              <w:t>ontraindicated. (Level of Evidence: A)</w:t>
            </w:r>
          </w:p>
          <w:p w14:paraId="5EB6BC61" w14:textId="58D70D2C" w:rsidR="00B62423" w:rsidRPr="00B62423" w:rsidRDefault="00B62423" w:rsidP="00B62423">
            <w:pPr>
              <w:pStyle w:val="ListParagraph"/>
              <w:numPr>
                <w:ilvl w:val="0"/>
                <w:numId w:val="9"/>
              </w:numPr>
              <w:rPr>
                <w:color w:val="0000FF"/>
              </w:rPr>
            </w:pPr>
            <w:proofErr w:type="spellStart"/>
            <w:r w:rsidRPr="00B62423">
              <w:rPr>
                <w:color w:val="0000FF"/>
              </w:rPr>
              <w:t>Clopidogrel</w:t>
            </w:r>
            <w:proofErr w:type="spellEnd"/>
            <w:r w:rsidRPr="00B62423">
              <w:rPr>
                <w:color w:val="0000FF"/>
              </w:rPr>
              <w:t xml:space="preserve"> 75 mg daily is recommended as an alternative for patients who are intolerant of or allergic to aspirin. (Level of Evidence: B) Class I</w:t>
            </w:r>
          </w:p>
        </w:tc>
      </w:tr>
      <w:tr w:rsidR="00B62423" w:rsidRPr="00B62423" w14:paraId="472E1E65" w14:textId="77777777" w:rsidTr="0064178E">
        <w:trPr>
          <w:trHeight w:val="2447"/>
        </w:trPr>
        <w:tc>
          <w:tcPr>
            <w:tcW w:w="1818" w:type="dxa"/>
          </w:tcPr>
          <w:p w14:paraId="120840C4" w14:textId="3AAAAC65" w:rsidR="00B62423" w:rsidRPr="00B62423" w:rsidRDefault="00B62423" w:rsidP="004F1A0D">
            <w:pPr>
              <w:ind w:left="0" w:firstLine="0"/>
              <w:jc w:val="center"/>
              <w:rPr>
                <w:color w:val="0000FF"/>
              </w:rPr>
            </w:pPr>
            <w:r>
              <w:rPr>
                <w:color w:val="0000FF"/>
              </w:rPr>
              <w:t>3</w:t>
            </w:r>
          </w:p>
        </w:tc>
        <w:tc>
          <w:tcPr>
            <w:tcW w:w="1890" w:type="dxa"/>
          </w:tcPr>
          <w:p w14:paraId="61A949D6" w14:textId="4B430690" w:rsidR="00B62423" w:rsidRPr="00B62423" w:rsidRDefault="00B62423" w:rsidP="004F1A0D">
            <w:pPr>
              <w:ind w:left="0" w:firstLine="0"/>
              <w:jc w:val="center"/>
              <w:rPr>
                <w:color w:val="0000FF"/>
              </w:rPr>
            </w:pPr>
            <w:r>
              <w:rPr>
                <w:color w:val="0000FF"/>
              </w:rPr>
              <w:t>2</w:t>
            </w:r>
          </w:p>
        </w:tc>
        <w:tc>
          <w:tcPr>
            <w:tcW w:w="5868" w:type="dxa"/>
          </w:tcPr>
          <w:p w14:paraId="53C6EDAE" w14:textId="130CF3D0" w:rsidR="00B62423" w:rsidRPr="00B62423" w:rsidRDefault="00B62423" w:rsidP="00B62423">
            <w:pPr>
              <w:ind w:left="0" w:firstLine="0"/>
              <w:rPr>
                <w:color w:val="0000FF"/>
              </w:rPr>
            </w:pPr>
            <w:r w:rsidRPr="00B62423">
              <w:rPr>
                <w:color w:val="0000FF"/>
              </w:rPr>
              <w:t>A P2Y12 receptor antagonist in combination with aspirin is indicated in patients after ACS or PCI with stent placement. (Level of Evidence: A)</w:t>
            </w:r>
          </w:p>
          <w:p w14:paraId="36827E25" w14:textId="0DF30121" w:rsidR="00B62423" w:rsidRPr="00B62423" w:rsidRDefault="00B62423" w:rsidP="00B62423">
            <w:pPr>
              <w:pStyle w:val="ListParagraph"/>
              <w:numPr>
                <w:ilvl w:val="0"/>
                <w:numId w:val="9"/>
              </w:numPr>
              <w:rPr>
                <w:color w:val="0000FF"/>
              </w:rPr>
            </w:pPr>
            <w:r w:rsidRPr="00B62423">
              <w:rPr>
                <w:color w:val="0000FF"/>
              </w:rPr>
              <w:t xml:space="preserve">For patients receiving a bare-metal stent or drug-eluting stent during PCI for ACS, </w:t>
            </w:r>
            <w:proofErr w:type="spellStart"/>
            <w:r w:rsidRPr="00B62423">
              <w:rPr>
                <w:color w:val="0000FF"/>
              </w:rPr>
              <w:t>clopidogrel</w:t>
            </w:r>
            <w:proofErr w:type="spellEnd"/>
            <w:r w:rsidRPr="00B62423">
              <w:rPr>
                <w:color w:val="0000FF"/>
              </w:rPr>
              <w:t xml:space="preserve"> 75 mg daily, </w:t>
            </w:r>
            <w:proofErr w:type="spellStart"/>
            <w:r w:rsidRPr="00B62423">
              <w:rPr>
                <w:color w:val="0000FF"/>
              </w:rPr>
              <w:t>prasugrel</w:t>
            </w:r>
            <w:proofErr w:type="spellEnd"/>
            <w:r w:rsidRPr="00B62423">
              <w:rPr>
                <w:color w:val="0000FF"/>
              </w:rPr>
              <w:t xml:space="preserve"> 10 mg daily, or </w:t>
            </w:r>
            <w:proofErr w:type="spellStart"/>
            <w:r w:rsidRPr="00B62423">
              <w:rPr>
                <w:color w:val="0000FF"/>
              </w:rPr>
              <w:t>ticagrelor</w:t>
            </w:r>
            <w:proofErr w:type="spellEnd"/>
            <w:r w:rsidRPr="00B62423">
              <w:rPr>
                <w:color w:val="0000FF"/>
              </w:rPr>
              <w:t xml:space="preserve"> 90 mg twice daily should be given for at least 12 months. (Level of Evidence: A) Class I</w:t>
            </w:r>
          </w:p>
        </w:tc>
      </w:tr>
      <w:tr w:rsidR="00B62423" w:rsidRPr="00B62423" w14:paraId="295EE903" w14:textId="77777777" w:rsidTr="0064178E">
        <w:tc>
          <w:tcPr>
            <w:tcW w:w="1818" w:type="dxa"/>
          </w:tcPr>
          <w:p w14:paraId="4F50D112" w14:textId="40A46EDD" w:rsidR="00B62423" w:rsidRPr="00B62423" w:rsidRDefault="00B62423" w:rsidP="004F1A0D">
            <w:pPr>
              <w:ind w:left="0" w:firstLine="0"/>
              <w:jc w:val="center"/>
              <w:rPr>
                <w:color w:val="0000FF"/>
              </w:rPr>
            </w:pPr>
            <w:r>
              <w:rPr>
                <w:color w:val="0000FF"/>
              </w:rPr>
              <w:t>4</w:t>
            </w:r>
          </w:p>
        </w:tc>
        <w:tc>
          <w:tcPr>
            <w:tcW w:w="1890" w:type="dxa"/>
          </w:tcPr>
          <w:p w14:paraId="6A718B35" w14:textId="655F9DF3" w:rsidR="00B62423" w:rsidRPr="00B62423" w:rsidRDefault="00B62423" w:rsidP="004F1A0D">
            <w:pPr>
              <w:ind w:left="0" w:firstLine="0"/>
              <w:jc w:val="center"/>
              <w:rPr>
                <w:color w:val="0000FF"/>
              </w:rPr>
            </w:pPr>
            <w:r>
              <w:rPr>
                <w:color w:val="0000FF"/>
              </w:rPr>
              <w:t>3</w:t>
            </w:r>
          </w:p>
        </w:tc>
        <w:tc>
          <w:tcPr>
            <w:tcW w:w="5868" w:type="dxa"/>
          </w:tcPr>
          <w:p w14:paraId="20F67122" w14:textId="1333E082" w:rsidR="00B62423" w:rsidRPr="00B62423" w:rsidRDefault="00B62423" w:rsidP="002E2177">
            <w:pPr>
              <w:ind w:left="0" w:firstLine="0"/>
              <w:rPr>
                <w:color w:val="0000FF"/>
              </w:rPr>
            </w:pPr>
            <w:r w:rsidRPr="00B62423">
              <w:rPr>
                <w:color w:val="0000FF"/>
              </w:rPr>
              <w:t>For patients undergoing coronary artery bypass grafting, aspirin should be started within 6 hours after surgery to reduce saphenous vein graft closure. Dosing regimens ranging from 100 to 325 mg daily for 1 year appear to be efficacious.  (Level of Evidence: A) Class I</w:t>
            </w:r>
          </w:p>
        </w:tc>
      </w:tr>
      <w:tr w:rsidR="00B62423" w:rsidRPr="00B62423" w14:paraId="0C36577C" w14:textId="77777777" w:rsidTr="0064178E">
        <w:tc>
          <w:tcPr>
            <w:tcW w:w="1818" w:type="dxa"/>
          </w:tcPr>
          <w:p w14:paraId="391DF2C1" w14:textId="7F3DFBC2" w:rsidR="00B62423" w:rsidRPr="00B62423" w:rsidRDefault="00B62423" w:rsidP="004F1A0D">
            <w:pPr>
              <w:ind w:left="0" w:firstLine="0"/>
              <w:jc w:val="center"/>
              <w:rPr>
                <w:color w:val="0000FF"/>
              </w:rPr>
            </w:pPr>
            <w:r>
              <w:rPr>
                <w:color w:val="0000FF"/>
              </w:rPr>
              <w:lastRenderedPageBreak/>
              <w:t>4</w:t>
            </w:r>
          </w:p>
        </w:tc>
        <w:tc>
          <w:tcPr>
            <w:tcW w:w="1890" w:type="dxa"/>
          </w:tcPr>
          <w:p w14:paraId="4CF6A7B6" w14:textId="203B52BD" w:rsidR="00B62423" w:rsidRPr="00B62423" w:rsidRDefault="00B62423" w:rsidP="004F1A0D">
            <w:pPr>
              <w:ind w:left="0" w:firstLine="0"/>
              <w:jc w:val="center"/>
              <w:rPr>
                <w:color w:val="0000FF"/>
              </w:rPr>
            </w:pPr>
            <w:r>
              <w:rPr>
                <w:color w:val="0000FF"/>
              </w:rPr>
              <w:t>4</w:t>
            </w:r>
          </w:p>
        </w:tc>
        <w:tc>
          <w:tcPr>
            <w:tcW w:w="5868" w:type="dxa"/>
          </w:tcPr>
          <w:p w14:paraId="2D8CC38A" w14:textId="2EC344E2" w:rsidR="00B62423" w:rsidRPr="00B62423" w:rsidRDefault="00B62423" w:rsidP="002E2177">
            <w:pPr>
              <w:ind w:left="0" w:firstLine="0"/>
              <w:rPr>
                <w:color w:val="0000FF"/>
              </w:rPr>
            </w:pPr>
            <w:r w:rsidRPr="00B62423">
              <w:rPr>
                <w:color w:val="0000FF"/>
              </w:rPr>
              <w:t xml:space="preserve">In patients with </w:t>
            </w:r>
            <w:proofErr w:type="spellStart"/>
            <w:r w:rsidRPr="00B62423">
              <w:rPr>
                <w:color w:val="0000FF"/>
              </w:rPr>
              <w:t>extracranial</w:t>
            </w:r>
            <w:proofErr w:type="spellEnd"/>
            <w:r w:rsidRPr="00B62423">
              <w:rPr>
                <w:color w:val="0000FF"/>
              </w:rPr>
              <w:t xml:space="preserve"> carotid or vertebral atherosclerosis who have had ischemic stroke or TIA, treatment with aspirin alone (75–325 mg daily), </w:t>
            </w:r>
            <w:proofErr w:type="spellStart"/>
            <w:r w:rsidRPr="00B62423">
              <w:rPr>
                <w:color w:val="0000FF"/>
              </w:rPr>
              <w:t>clopidogrel</w:t>
            </w:r>
            <w:proofErr w:type="spellEnd"/>
            <w:r w:rsidRPr="00B62423">
              <w:rPr>
                <w:color w:val="0000FF"/>
              </w:rPr>
              <w:t xml:space="preserve"> alone (75 mg daily), or the combination of aspirin plus extended-release dipyridamole (25 mg and 200 mg twice daily, respectively) should be started and continued.  (Level of Evidence: B) Class I</w:t>
            </w:r>
          </w:p>
        </w:tc>
      </w:tr>
      <w:tr w:rsidR="00B62423" w:rsidRPr="00B62423" w14:paraId="15B9E616" w14:textId="77777777" w:rsidTr="0064178E">
        <w:tc>
          <w:tcPr>
            <w:tcW w:w="1818" w:type="dxa"/>
          </w:tcPr>
          <w:p w14:paraId="1BC6D510" w14:textId="07F03BC3" w:rsidR="00B62423" w:rsidRPr="00B62423" w:rsidRDefault="00B62423" w:rsidP="004F1A0D">
            <w:pPr>
              <w:ind w:left="0" w:firstLine="0"/>
              <w:jc w:val="center"/>
              <w:rPr>
                <w:color w:val="0000FF"/>
              </w:rPr>
            </w:pPr>
            <w:r>
              <w:rPr>
                <w:color w:val="0000FF"/>
              </w:rPr>
              <w:t>4</w:t>
            </w:r>
          </w:p>
        </w:tc>
        <w:tc>
          <w:tcPr>
            <w:tcW w:w="1890" w:type="dxa"/>
          </w:tcPr>
          <w:p w14:paraId="35E89650" w14:textId="1EE1DFE0" w:rsidR="00B62423" w:rsidRPr="00B62423" w:rsidRDefault="00B62423" w:rsidP="004F1A0D">
            <w:pPr>
              <w:ind w:left="0" w:firstLine="0"/>
              <w:jc w:val="center"/>
              <w:rPr>
                <w:color w:val="0000FF"/>
              </w:rPr>
            </w:pPr>
            <w:r>
              <w:rPr>
                <w:color w:val="0000FF"/>
              </w:rPr>
              <w:t>5</w:t>
            </w:r>
          </w:p>
        </w:tc>
        <w:tc>
          <w:tcPr>
            <w:tcW w:w="5868" w:type="dxa"/>
          </w:tcPr>
          <w:p w14:paraId="36DB4A30" w14:textId="4B7B4DE4" w:rsidR="00B62423" w:rsidRPr="00B62423" w:rsidRDefault="00B62423" w:rsidP="002E2177">
            <w:pPr>
              <w:ind w:left="0" w:firstLine="0"/>
              <w:rPr>
                <w:color w:val="0000FF"/>
              </w:rPr>
            </w:pPr>
            <w:r w:rsidRPr="00B62423">
              <w:rPr>
                <w:color w:val="0000FF"/>
              </w:rPr>
              <w:t xml:space="preserve">For patients with symptomatic atherosclerotic peripheral artery disease of the lower extremity, antiplatelet therapy with aspirin (75–325 mg daily) or </w:t>
            </w:r>
            <w:proofErr w:type="spellStart"/>
            <w:r w:rsidRPr="00B62423">
              <w:rPr>
                <w:color w:val="0000FF"/>
              </w:rPr>
              <w:t>clopidogrel</w:t>
            </w:r>
            <w:proofErr w:type="spellEnd"/>
            <w:r w:rsidRPr="00B62423">
              <w:rPr>
                <w:color w:val="0000FF"/>
              </w:rPr>
              <w:t xml:space="preserve"> (75 mg daily) should be started and continued.  (Level of Evidence: A) Class I</w:t>
            </w:r>
          </w:p>
        </w:tc>
      </w:tr>
      <w:tr w:rsidR="00B62423" w:rsidRPr="00B62423" w14:paraId="23A5D33E" w14:textId="77777777" w:rsidTr="0064178E">
        <w:tc>
          <w:tcPr>
            <w:tcW w:w="1818" w:type="dxa"/>
          </w:tcPr>
          <w:p w14:paraId="17BC9AE2" w14:textId="26316C1A" w:rsidR="00B62423" w:rsidRPr="00B62423" w:rsidRDefault="00B62423" w:rsidP="004F1A0D">
            <w:pPr>
              <w:ind w:left="0" w:firstLine="0"/>
              <w:jc w:val="center"/>
              <w:rPr>
                <w:color w:val="0000FF"/>
              </w:rPr>
            </w:pPr>
            <w:r>
              <w:rPr>
                <w:color w:val="0000FF"/>
              </w:rPr>
              <w:t>4</w:t>
            </w:r>
          </w:p>
        </w:tc>
        <w:tc>
          <w:tcPr>
            <w:tcW w:w="1890" w:type="dxa"/>
          </w:tcPr>
          <w:p w14:paraId="398E8F1E" w14:textId="5A56453A" w:rsidR="00B62423" w:rsidRPr="00B62423" w:rsidRDefault="00B62423" w:rsidP="004F1A0D">
            <w:pPr>
              <w:ind w:left="0" w:firstLine="0"/>
              <w:jc w:val="center"/>
              <w:rPr>
                <w:color w:val="0000FF"/>
              </w:rPr>
            </w:pPr>
            <w:r>
              <w:rPr>
                <w:color w:val="0000FF"/>
              </w:rPr>
              <w:t>6</w:t>
            </w:r>
          </w:p>
        </w:tc>
        <w:tc>
          <w:tcPr>
            <w:tcW w:w="5868" w:type="dxa"/>
          </w:tcPr>
          <w:p w14:paraId="2D154286" w14:textId="26C026CE" w:rsidR="00B62423" w:rsidRPr="00B62423" w:rsidRDefault="00B62423" w:rsidP="002E2177">
            <w:pPr>
              <w:ind w:left="0" w:firstLine="0"/>
              <w:rPr>
                <w:color w:val="0000FF"/>
              </w:rPr>
            </w:pPr>
            <w:r w:rsidRPr="00B62423">
              <w:rPr>
                <w:color w:val="0000FF"/>
              </w:rPr>
              <w:t>Antiplatelet therapy is recommended in preference to anticoagulant therapy with warfarin or other vitamin K antagonists to treat patients with atherosclerosis. (Level of Evidence: A)</w:t>
            </w:r>
            <w:r>
              <w:rPr>
                <w:color w:val="0000FF"/>
              </w:rPr>
              <w:t xml:space="preserve"> Class I</w:t>
            </w:r>
          </w:p>
        </w:tc>
      </w:tr>
    </w:tbl>
    <w:p w14:paraId="52087926" w14:textId="77777777" w:rsidR="00496AF8" w:rsidRPr="003B1CC5" w:rsidRDefault="00496AF8" w:rsidP="002E2177">
      <w:pPr>
        <w:ind w:left="0" w:firstLine="0"/>
      </w:pPr>
    </w:p>
    <w:p w14:paraId="52087927" w14:textId="6A1AC2F2" w:rsidR="00496AF8" w:rsidRDefault="009A58D2" w:rsidP="002E2177">
      <w:pPr>
        <w:ind w:left="0" w:firstLine="0"/>
        <w:rPr>
          <w:color w:val="0000FF"/>
        </w:rPr>
      </w:pPr>
      <w:r w:rsidRPr="009A58D2">
        <w:rPr>
          <w:color w:val="0000FF"/>
        </w:rPr>
        <w:t xml:space="preserve">Guidelines for the </w:t>
      </w:r>
      <w:r>
        <w:rPr>
          <w:color w:val="0000FF"/>
        </w:rPr>
        <w:t>P</w:t>
      </w:r>
      <w:r w:rsidRPr="009A58D2">
        <w:rPr>
          <w:color w:val="0000FF"/>
        </w:rPr>
        <w:t xml:space="preserve">revention of </w:t>
      </w:r>
      <w:r>
        <w:rPr>
          <w:color w:val="0000FF"/>
        </w:rPr>
        <w:t>S</w:t>
      </w:r>
      <w:r w:rsidRPr="009A58D2">
        <w:rPr>
          <w:color w:val="0000FF"/>
        </w:rPr>
        <w:t xml:space="preserve">troke in </w:t>
      </w:r>
      <w:r>
        <w:rPr>
          <w:color w:val="0000FF"/>
        </w:rPr>
        <w:t>P</w:t>
      </w:r>
      <w:r w:rsidRPr="009A58D2">
        <w:rPr>
          <w:color w:val="0000FF"/>
        </w:rPr>
        <w:t xml:space="preserve">atients with </w:t>
      </w:r>
      <w:r>
        <w:rPr>
          <w:color w:val="0000FF"/>
        </w:rPr>
        <w:t>S</w:t>
      </w:r>
      <w:r w:rsidRPr="009A58D2">
        <w:rPr>
          <w:color w:val="0000FF"/>
        </w:rPr>
        <w:t xml:space="preserve">troke and </w:t>
      </w:r>
      <w:r>
        <w:rPr>
          <w:color w:val="0000FF"/>
        </w:rPr>
        <w:t>T</w:t>
      </w:r>
      <w:r w:rsidRPr="009A58D2">
        <w:rPr>
          <w:color w:val="0000FF"/>
        </w:rPr>
        <w:t xml:space="preserve">ransient </w:t>
      </w:r>
      <w:r>
        <w:rPr>
          <w:color w:val="0000FF"/>
        </w:rPr>
        <w:t>I</w:t>
      </w:r>
      <w:r w:rsidRPr="009A58D2">
        <w:rPr>
          <w:color w:val="0000FF"/>
        </w:rPr>
        <w:t xml:space="preserve">schemic </w:t>
      </w:r>
      <w:r>
        <w:rPr>
          <w:color w:val="0000FF"/>
        </w:rPr>
        <w:t>A</w:t>
      </w:r>
      <w:r w:rsidRPr="009A58D2">
        <w:rPr>
          <w:color w:val="0000FF"/>
        </w:rPr>
        <w:t>ttack</w:t>
      </w:r>
      <w:r>
        <w:rPr>
          <w:color w:val="0000FF"/>
        </w:rPr>
        <w:t>: 2014</w:t>
      </w:r>
    </w:p>
    <w:tbl>
      <w:tblPr>
        <w:tblStyle w:val="TableGrid"/>
        <w:tblW w:w="0" w:type="auto"/>
        <w:tblLook w:val="04A0" w:firstRow="1" w:lastRow="0" w:firstColumn="1" w:lastColumn="0" w:noHBand="0" w:noVBand="1"/>
      </w:tblPr>
      <w:tblGrid>
        <w:gridCol w:w="1777"/>
        <w:gridCol w:w="1888"/>
        <w:gridCol w:w="5685"/>
      </w:tblGrid>
      <w:tr w:rsidR="009A58D2" w:rsidRPr="0062698B" w14:paraId="6A4AB913" w14:textId="77777777" w:rsidTr="0064178E">
        <w:tc>
          <w:tcPr>
            <w:tcW w:w="1818" w:type="dxa"/>
          </w:tcPr>
          <w:p w14:paraId="11861869" w14:textId="77777777" w:rsidR="009A58D2" w:rsidRPr="0062698B" w:rsidRDefault="009A58D2" w:rsidP="000E6A0C">
            <w:pPr>
              <w:ind w:left="0" w:firstLine="0"/>
              <w:jc w:val="center"/>
              <w:rPr>
                <w:b/>
                <w:color w:val="0000FF"/>
              </w:rPr>
            </w:pPr>
            <w:r w:rsidRPr="0062698B">
              <w:rPr>
                <w:b/>
                <w:color w:val="0000FF"/>
              </w:rPr>
              <w:t>Page Number</w:t>
            </w:r>
          </w:p>
        </w:tc>
        <w:tc>
          <w:tcPr>
            <w:tcW w:w="1890" w:type="dxa"/>
          </w:tcPr>
          <w:p w14:paraId="60632D8A" w14:textId="77777777" w:rsidR="009A58D2" w:rsidRPr="0062698B" w:rsidRDefault="009A58D2" w:rsidP="000E6A0C">
            <w:pPr>
              <w:ind w:left="0" w:firstLine="0"/>
              <w:jc w:val="center"/>
              <w:rPr>
                <w:b/>
                <w:color w:val="0000FF"/>
              </w:rPr>
            </w:pPr>
            <w:r w:rsidRPr="0062698B">
              <w:rPr>
                <w:b/>
                <w:color w:val="0000FF"/>
              </w:rPr>
              <w:t>Recommendation</w:t>
            </w:r>
          </w:p>
        </w:tc>
        <w:tc>
          <w:tcPr>
            <w:tcW w:w="5868" w:type="dxa"/>
          </w:tcPr>
          <w:p w14:paraId="57D6E637" w14:textId="77777777" w:rsidR="009A58D2" w:rsidRPr="0062698B" w:rsidRDefault="009A58D2" w:rsidP="006E011F">
            <w:pPr>
              <w:ind w:left="0" w:firstLine="0"/>
              <w:jc w:val="center"/>
              <w:rPr>
                <w:b/>
                <w:color w:val="0000FF"/>
              </w:rPr>
            </w:pPr>
            <w:r w:rsidRPr="0062698B">
              <w:rPr>
                <w:b/>
                <w:color w:val="0000FF"/>
              </w:rPr>
              <w:t>Verbatim Quote</w:t>
            </w:r>
          </w:p>
        </w:tc>
      </w:tr>
      <w:tr w:rsidR="009A58D2" w14:paraId="2CFEB315" w14:textId="77777777" w:rsidTr="0064178E">
        <w:tc>
          <w:tcPr>
            <w:tcW w:w="1818" w:type="dxa"/>
          </w:tcPr>
          <w:p w14:paraId="0133FDEA" w14:textId="007E510E" w:rsidR="009A58D2" w:rsidRDefault="009A58D2" w:rsidP="000E6A0C">
            <w:pPr>
              <w:ind w:left="0" w:firstLine="0"/>
              <w:jc w:val="center"/>
              <w:rPr>
                <w:color w:val="0000FF"/>
              </w:rPr>
            </w:pPr>
            <w:r>
              <w:rPr>
                <w:color w:val="0000FF"/>
              </w:rPr>
              <w:t>2198</w:t>
            </w:r>
          </w:p>
        </w:tc>
        <w:tc>
          <w:tcPr>
            <w:tcW w:w="1890" w:type="dxa"/>
          </w:tcPr>
          <w:p w14:paraId="42A0BDAB" w14:textId="776AAA14" w:rsidR="009A58D2" w:rsidRDefault="000E6A0C" w:rsidP="000E6A0C">
            <w:pPr>
              <w:ind w:left="0" w:firstLine="0"/>
              <w:jc w:val="center"/>
              <w:rPr>
                <w:color w:val="0000FF"/>
              </w:rPr>
            </w:pPr>
            <w:r>
              <w:rPr>
                <w:color w:val="0000FF"/>
              </w:rPr>
              <w:t>1</w:t>
            </w:r>
          </w:p>
        </w:tc>
        <w:tc>
          <w:tcPr>
            <w:tcW w:w="5868" w:type="dxa"/>
          </w:tcPr>
          <w:p w14:paraId="2B9923C9" w14:textId="6D3B16A8" w:rsidR="009A58D2" w:rsidRDefault="009A58D2" w:rsidP="002E2177">
            <w:pPr>
              <w:ind w:left="0" w:firstLine="0"/>
              <w:rPr>
                <w:color w:val="0000FF"/>
              </w:rPr>
            </w:pPr>
            <w:r w:rsidRPr="009A58D2">
              <w:rPr>
                <w:color w:val="0000FF"/>
              </w:rPr>
              <w:t xml:space="preserve">For patients with </w:t>
            </w:r>
            <w:proofErr w:type="spellStart"/>
            <w:r w:rsidRPr="009A58D2">
              <w:rPr>
                <w:color w:val="0000FF"/>
              </w:rPr>
              <w:t>noncardioembolic</w:t>
            </w:r>
            <w:proofErr w:type="spellEnd"/>
            <w:r w:rsidRPr="009A58D2">
              <w:rPr>
                <w:color w:val="0000FF"/>
              </w:rPr>
              <w:t xml:space="preserve"> ischemic stroke or TIA, the use of antiplatelet agents rather than oral anticoagulation is recommended to reduce the risk of recurrent stroke and other cardiovascular events (Class I; Level of Evidence A).</w:t>
            </w:r>
          </w:p>
        </w:tc>
      </w:tr>
      <w:tr w:rsidR="009A58D2" w14:paraId="7B87922C" w14:textId="77777777" w:rsidTr="0064178E">
        <w:tc>
          <w:tcPr>
            <w:tcW w:w="1818" w:type="dxa"/>
          </w:tcPr>
          <w:p w14:paraId="4228F708" w14:textId="0B849DDF" w:rsidR="009A58D2" w:rsidRDefault="000E6A0C" w:rsidP="000E6A0C">
            <w:pPr>
              <w:ind w:left="0" w:firstLine="0"/>
              <w:jc w:val="center"/>
              <w:rPr>
                <w:color w:val="0000FF"/>
              </w:rPr>
            </w:pPr>
            <w:r>
              <w:rPr>
                <w:color w:val="0000FF"/>
              </w:rPr>
              <w:t>2198</w:t>
            </w:r>
          </w:p>
        </w:tc>
        <w:tc>
          <w:tcPr>
            <w:tcW w:w="1890" w:type="dxa"/>
          </w:tcPr>
          <w:p w14:paraId="3899D5E8" w14:textId="520BC5E3" w:rsidR="009A58D2" w:rsidRDefault="000E6A0C" w:rsidP="000E6A0C">
            <w:pPr>
              <w:ind w:left="0" w:firstLine="0"/>
              <w:jc w:val="center"/>
              <w:rPr>
                <w:color w:val="0000FF"/>
              </w:rPr>
            </w:pPr>
            <w:r>
              <w:rPr>
                <w:color w:val="0000FF"/>
              </w:rPr>
              <w:t>2</w:t>
            </w:r>
          </w:p>
        </w:tc>
        <w:tc>
          <w:tcPr>
            <w:tcW w:w="5868" w:type="dxa"/>
          </w:tcPr>
          <w:p w14:paraId="00B0039F" w14:textId="2B87D523" w:rsidR="009A58D2" w:rsidRDefault="009A58D2" w:rsidP="009A58D2">
            <w:pPr>
              <w:ind w:left="0" w:firstLine="0"/>
              <w:rPr>
                <w:color w:val="0000FF"/>
              </w:rPr>
            </w:pPr>
            <w:r w:rsidRPr="009A58D2">
              <w:rPr>
                <w:color w:val="0000FF"/>
              </w:rPr>
              <w:t>Aspirin (50–325 mg/d) monotherapy (Class I; Level</w:t>
            </w:r>
            <w:r>
              <w:rPr>
                <w:color w:val="0000FF"/>
              </w:rPr>
              <w:t xml:space="preserve"> </w:t>
            </w:r>
            <w:r w:rsidRPr="009A58D2">
              <w:rPr>
                <w:color w:val="0000FF"/>
              </w:rPr>
              <w:t>of Evidence A) or the combination of aspirin 25 mg</w:t>
            </w:r>
            <w:r>
              <w:rPr>
                <w:color w:val="0000FF"/>
              </w:rPr>
              <w:t xml:space="preserve"> </w:t>
            </w:r>
            <w:r w:rsidRPr="009A58D2">
              <w:rPr>
                <w:color w:val="0000FF"/>
              </w:rPr>
              <w:t>and extended-release dipyridamole 200 mg twice</w:t>
            </w:r>
            <w:r>
              <w:rPr>
                <w:color w:val="0000FF"/>
              </w:rPr>
              <w:t xml:space="preserve"> </w:t>
            </w:r>
            <w:r w:rsidRPr="009A58D2">
              <w:rPr>
                <w:color w:val="0000FF"/>
              </w:rPr>
              <w:t>daily (Class I; Level of Evidence B) is indicated as initial therapy after TIA or ischemic stroke for prevention of future stroke. (Revised recommendation)</w:t>
            </w:r>
          </w:p>
        </w:tc>
      </w:tr>
      <w:tr w:rsidR="009A58D2" w14:paraId="4251B425" w14:textId="77777777" w:rsidTr="0064178E">
        <w:tc>
          <w:tcPr>
            <w:tcW w:w="1818" w:type="dxa"/>
          </w:tcPr>
          <w:p w14:paraId="1AFF90A8" w14:textId="79A92383" w:rsidR="009A58D2" w:rsidRDefault="000E6A0C" w:rsidP="000E6A0C">
            <w:pPr>
              <w:ind w:left="0" w:firstLine="0"/>
              <w:jc w:val="center"/>
              <w:rPr>
                <w:color w:val="0000FF"/>
              </w:rPr>
            </w:pPr>
            <w:r>
              <w:rPr>
                <w:color w:val="0000FF"/>
              </w:rPr>
              <w:t>2198</w:t>
            </w:r>
          </w:p>
        </w:tc>
        <w:tc>
          <w:tcPr>
            <w:tcW w:w="1890" w:type="dxa"/>
          </w:tcPr>
          <w:p w14:paraId="595D46FC" w14:textId="28B382C9" w:rsidR="009A58D2" w:rsidRDefault="000E6A0C" w:rsidP="000E6A0C">
            <w:pPr>
              <w:ind w:left="0" w:firstLine="0"/>
              <w:jc w:val="center"/>
              <w:rPr>
                <w:color w:val="0000FF"/>
              </w:rPr>
            </w:pPr>
            <w:r>
              <w:rPr>
                <w:color w:val="0000FF"/>
              </w:rPr>
              <w:t>3</w:t>
            </w:r>
          </w:p>
        </w:tc>
        <w:tc>
          <w:tcPr>
            <w:tcW w:w="5868" w:type="dxa"/>
          </w:tcPr>
          <w:p w14:paraId="6A791619" w14:textId="40D26449" w:rsidR="009A58D2" w:rsidRDefault="009A58D2" w:rsidP="009A58D2">
            <w:pPr>
              <w:ind w:left="0" w:firstLine="0"/>
              <w:rPr>
                <w:color w:val="0000FF"/>
              </w:rPr>
            </w:pPr>
            <w:proofErr w:type="spellStart"/>
            <w:r w:rsidRPr="009A58D2">
              <w:rPr>
                <w:color w:val="0000FF"/>
              </w:rPr>
              <w:t>Clopidogrel</w:t>
            </w:r>
            <w:proofErr w:type="spellEnd"/>
            <w:r w:rsidRPr="009A58D2">
              <w:rPr>
                <w:color w:val="0000FF"/>
              </w:rPr>
              <w:t xml:space="preserve"> (75 mg) monotherapy is a reasonable</w:t>
            </w:r>
            <w:r>
              <w:rPr>
                <w:color w:val="0000FF"/>
              </w:rPr>
              <w:t xml:space="preserve"> </w:t>
            </w:r>
            <w:r w:rsidRPr="009A58D2">
              <w:rPr>
                <w:color w:val="0000FF"/>
              </w:rPr>
              <w:t>option for secondary prevention of stroke in place of</w:t>
            </w:r>
            <w:r>
              <w:rPr>
                <w:color w:val="0000FF"/>
              </w:rPr>
              <w:t xml:space="preserve"> </w:t>
            </w:r>
            <w:r w:rsidRPr="009A58D2">
              <w:rPr>
                <w:color w:val="0000FF"/>
              </w:rPr>
              <w:t>aspirin or combination aspirin/dipyridamole (Class</w:t>
            </w:r>
            <w:r>
              <w:rPr>
                <w:color w:val="0000FF"/>
              </w:rPr>
              <w:t xml:space="preserve"> </w:t>
            </w:r>
            <w:proofErr w:type="spellStart"/>
            <w:r w:rsidRPr="009A58D2">
              <w:rPr>
                <w:color w:val="0000FF"/>
              </w:rPr>
              <w:t>IIa</w:t>
            </w:r>
            <w:proofErr w:type="spellEnd"/>
            <w:r w:rsidRPr="009A58D2">
              <w:rPr>
                <w:color w:val="0000FF"/>
              </w:rPr>
              <w:t>; Level of Evidence B). This recommendation also</w:t>
            </w:r>
            <w:r>
              <w:rPr>
                <w:color w:val="0000FF"/>
              </w:rPr>
              <w:t xml:space="preserve"> </w:t>
            </w:r>
            <w:r w:rsidRPr="009A58D2">
              <w:rPr>
                <w:color w:val="0000FF"/>
              </w:rPr>
              <w:t>applies to patients who are allergic to aspirin.</w:t>
            </w:r>
          </w:p>
        </w:tc>
      </w:tr>
      <w:tr w:rsidR="009A58D2" w14:paraId="25319348" w14:textId="77777777" w:rsidTr="0064178E">
        <w:tc>
          <w:tcPr>
            <w:tcW w:w="1818" w:type="dxa"/>
          </w:tcPr>
          <w:p w14:paraId="5378BAF8" w14:textId="1691EE2B" w:rsidR="009A58D2" w:rsidRDefault="000E6A0C" w:rsidP="000E6A0C">
            <w:pPr>
              <w:ind w:left="0" w:firstLine="0"/>
              <w:jc w:val="center"/>
              <w:rPr>
                <w:color w:val="0000FF"/>
              </w:rPr>
            </w:pPr>
            <w:r>
              <w:rPr>
                <w:color w:val="0000FF"/>
              </w:rPr>
              <w:t>2199</w:t>
            </w:r>
          </w:p>
        </w:tc>
        <w:tc>
          <w:tcPr>
            <w:tcW w:w="1890" w:type="dxa"/>
          </w:tcPr>
          <w:p w14:paraId="59A99987" w14:textId="09AD3363" w:rsidR="009A58D2" w:rsidRDefault="000E6A0C" w:rsidP="000E6A0C">
            <w:pPr>
              <w:ind w:left="0" w:firstLine="0"/>
              <w:jc w:val="center"/>
              <w:rPr>
                <w:color w:val="0000FF"/>
              </w:rPr>
            </w:pPr>
            <w:r>
              <w:rPr>
                <w:color w:val="0000FF"/>
              </w:rPr>
              <w:t>4</w:t>
            </w:r>
          </w:p>
        </w:tc>
        <w:tc>
          <w:tcPr>
            <w:tcW w:w="5868" w:type="dxa"/>
          </w:tcPr>
          <w:p w14:paraId="5A73BD4A" w14:textId="02F4B2DC" w:rsidR="009A58D2" w:rsidRDefault="009A58D2" w:rsidP="002E2177">
            <w:pPr>
              <w:ind w:left="0" w:firstLine="0"/>
              <w:rPr>
                <w:color w:val="0000FF"/>
              </w:rPr>
            </w:pPr>
            <w:r w:rsidRPr="009A58D2">
              <w:rPr>
                <w:color w:val="0000FF"/>
              </w:rPr>
              <w:t xml:space="preserve">For patients with </w:t>
            </w:r>
            <w:proofErr w:type="spellStart"/>
            <w:r w:rsidRPr="009A58D2">
              <w:rPr>
                <w:color w:val="0000FF"/>
              </w:rPr>
              <w:t>noncardioembolic</w:t>
            </w:r>
            <w:proofErr w:type="spellEnd"/>
            <w:r w:rsidRPr="009A58D2">
              <w:rPr>
                <w:color w:val="0000FF"/>
              </w:rPr>
              <w:t xml:space="preserve"> ischemic stroke or TIA, the use of antiplatelet agents rather than oral anticoagulation is recommended to reduce the risk of recurrent stroke and other cardiovascular events (Class I; Level of Evidence A).</w:t>
            </w:r>
          </w:p>
        </w:tc>
      </w:tr>
    </w:tbl>
    <w:p w14:paraId="1FB5ACA9" w14:textId="77777777" w:rsidR="009A58D2" w:rsidRPr="009A58D2" w:rsidRDefault="009A58D2" w:rsidP="002E2177">
      <w:pPr>
        <w:ind w:left="0" w:firstLine="0"/>
        <w:rPr>
          <w:color w:val="0000FF"/>
        </w:rPr>
      </w:pPr>
    </w:p>
    <w:p w14:paraId="2E0A668E" w14:textId="77777777" w:rsidR="009A58D2" w:rsidRPr="003B1CC5" w:rsidRDefault="009A58D2"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13C64CEE" w14:textId="77777777" w:rsidR="006070EC" w:rsidRPr="00B62423" w:rsidRDefault="006070EC" w:rsidP="006070EC">
      <w:pPr>
        <w:ind w:left="0" w:firstLine="0"/>
        <w:rPr>
          <w:color w:val="0000FF"/>
        </w:rPr>
      </w:pPr>
      <w:r w:rsidRPr="00B62423">
        <w:rPr>
          <w:color w:val="0000FF"/>
        </w:rPr>
        <w:t xml:space="preserve">AHA/ACCF </w:t>
      </w:r>
      <w:r>
        <w:rPr>
          <w:color w:val="0000FF"/>
        </w:rPr>
        <w:t>S</w:t>
      </w:r>
      <w:r w:rsidRPr="00B62423">
        <w:rPr>
          <w:color w:val="0000FF"/>
        </w:rPr>
        <w:t xml:space="preserve">econdary </w:t>
      </w:r>
      <w:r>
        <w:rPr>
          <w:color w:val="0000FF"/>
        </w:rPr>
        <w:t>P</w:t>
      </w:r>
      <w:r w:rsidRPr="00B62423">
        <w:rPr>
          <w:color w:val="0000FF"/>
        </w:rPr>
        <w:t xml:space="preserve">revention and </w:t>
      </w:r>
      <w:r>
        <w:rPr>
          <w:color w:val="0000FF"/>
        </w:rPr>
        <w:t>R</w:t>
      </w:r>
      <w:r w:rsidRPr="00B62423">
        <w:rPr>
          <w:color w:val="0000FF"/>
        </w:rPr>
        <w:t xml:space="preserve">isk </w:t>
      </w:r>
      <w:r>
        <w:rPr>
          <w:color w:val="0000FF"/>
        </w:rPr>
        <w:t>R</w:t>
      </w:r>
      <w:r w:rsidRPr="00B62423">
        <w:rPr>
          <w:color w:val="0000FF"/>
        </w:rPr>
        <w:t xml:space="preserve">eduction </w:t>
      </w:r>
      <w:r>
        <w:rPr>
          <w:color w:val="0000FF"/>
        </w:rPr>
        <w:t>T</w:t>
      </w:r>
      <w:r w:rsidRPr="00B62423">
        <w:rPr>
          <w:color w:val="0000FF"/>
        </w:rPr>
        <w:t xml:space="preserve">herapy for </w:t>
      </w:r>
      <w:r>
        <w:rPr>
          <w:color w:val="0000FF"/>
        </w:rPr>
        <w:t>P</w:t>
      </w:r>
      <w:r w:rsidRPr="00B62423">
        <w:rPr>
          <w:color w:val="0000FF"/>
        </w:rPr>
        <w:t xml:space="preserve">atients with </w:t>
      </w:r>
      <w:r>
        <w:rPr>
          <w:color w:val="0000FF"/>
        </w:rPr>
        <w:t>C</w:t>
      </w:r>
      <w:r w:rsidRPr="00B62423">
        <w:rPr>
          <w:color w:val="0000FF"/>
        </w:rPr>
        <w:t xml:space="preserve">oronary and </w:t>
      </w:r>
      <w:r>
        <w:rPr>
          <w:color w:val="0000FF"/>
        </w:rPr>
        <w:t>O</w:t>
      </w:r>
      <w:r w:rsidRPr="00B62423">
        <w:rPr>
          <w:color w:val="0000FF"/>
        </w:rPr>
        <w:t xml:space="preserve">ther </w:t>
      </w:r>
      <w:r>
        <w:rPr>
          <w:color w:val="0000FF"/>
        </w:rPr>
        <w:t>A</w:t>
      </w:r>
      <w:r w:rsidRPr="00B62423">
        <w:rPr>
          <w:color w:val="0000FF"/>
        </w:rPr>
        <w:t xml:space="preserve">therosclerotic </w:t>
      </w:r>
      <w:r>
        <w:rPr>
          <w:color w:val="0000FF"/>
        </w:rPr>
        <w:t>V</w:t>
      </w:r>
      <w:r w:rsidRPr="00B62423">
        <w:rPr>
          <w:color w:val="0000FF"/>
        </w:rPr>
        <w:t xml:space="preserve">ascular </w:t>
      </w:r>
      <w:r>
        <w:rPr>
          <w:color w:val="0000FF"/>
        </w:rPr>
        <w:t>D</w:t>
      </w:r>
      <w:r w:rsidRPr="00B62423">
        <w:rPr>
          <w:color w:val="0000FF"/>
        </w:rPr>
        <w:t xml:space="preserve">isease: 2011 </w:t>
      </w:r>
      <w:r>
        <w:rPr>
          <w:color w:val="0000FF"/>
        </w:rPr>
        <w:t>U</w:t>
      </w:r>
      <w:r w:rsidRPr="00B62423">
        <w:rPr>
          <w:color w:val="0000FF"/>
        </w:rPr>
        <w:t>pdate</w:t>
      </w:r>
    </w:p>
    <w:tbl>
      <w:tblPr>
        <w:tblStyle w:val="TableGrid"/>
        <w:tblW w:w="0" w:type="auto"/>
        <w:tblLook w:val="04A0" w:firstRow="1" w:lastRow="0" w:firstColumn="1" w:lastColumn="0" w:noHBand="0" w:noVBand="1"/>
      </w:tblPr>
      <w:tblGrid>
        <w:gridCol w:w="1841"/>
        <w:gridCol w:w="1829"/>
        <w:gridCol w:w="5680"/>
      </w:tblGrid>
      <w:tr w:rsidR="0064178E" w:rsidRPr="0062698B" w14:paraId="5F057793" w14:textId="77777777" w:rsidTr="0064178E">
        <w:tc>
          <w:tcPr>
            <w:tcW w:w="1818" w:type="dxa"/>
          </w:tcPr>
          <w:p w14:paraId="14C38684" w14:textId="16786FB2" w:rsidR="0064178E" w:rsidRPr="0062698B" w:rsidRDefault="0064178E" w:rsidP="0064178E">
            <w:pPr>
              <w:ind w:left="0" w:firstLine="0"/>
              <w:jc w:val="center"/>
              <w:rPr>
                <w:b/>
                <w:color w:val="0000FF"/>
              </w:rPr>
            </w:pPr>
            <w:r w:rsidRPr="0062698B">
              <w:rPr>
                <w:b/>
                <w:color w:val="0000FF"/>
              </w:rPr>
              <w:t>Recommendation</w:t>
            </w:r>
          </w:p>
        </w:tc>
        <w:tc>
          <w:tcPr>
            <w:tcW w:w="1890" w:type="dxa"/>
          </w:tcPr>
          <w:p w14:paraId="2C0C3798" w14:textId="2561C8F2" w:rsidR="0064178E" w:rsidRPr="0062698B" w:rsidRDefault="0064178E" w:rsidP="0064178E">
            <w:pPr>
              <w:ind w:left="0" w:firstLine="0"/>
              <w:jc w:val="center"/>
              <w:rPr>
                <w:b/>
                <w:color w:val="0000FF"/>
              </w:rPr>
            </w:pPr>
            <w:r w:rsidRPr="0062698B">
              <w:rPr>
                <w:b/>
                <w:color w:val="0000FF"/>
              </w:rPr>
              <w:t>Grade</w:t>
            </w:r>
          </w:p>
        </w:tc>
        <w:tc>
          <w:tcPr>
            <w:tcW w:w="5868" w:type="dxa"/>
          </w:tcPr>
          <w:p w14:paraId="6BBD7A30" w14:textId="3366B81E" w:rsidR="0064178E" w:rsidRPr="0062698B" w:rsidRDefault="0064178E" w:rsidP="0064178E">
            <w:pPr>
              <w:ind w:left="0" w:firstLine="0"/>
              <w:jc w:val="center"/>
              <w:rPr>
                <w:b/>
                <w:color w:val="0000FF"/>
              </w:rPr>
            </w:pPr>
            <w:r w:rsidRPr="0062698B">
              <w:rPr>
                <w:b/>
                <w:color w:val="0000FF"/>
              </w:rPr>
              <w:t>Definition</w:t>
            </w:r>
          </w:p>
        </w:tc>
      </w:tr>
      <w:tr w:rsidR="0064178E" w14:paraId="6DC2B153" w14:textId="77777777" w:rsidTr="0064178E">
        <w:tc>
          <w:tcPr>
            <w:tcW w:w="1818" w:type="dxa"/>
          </w:tcPr>
          <w:p w14:paraId="6FC93138" w14:textId="7B75064E" w:rsidR="0064178E" w:rsidRPr="0064178E" w:rsidRDefault="0064178E" w:rsidP="0064178E">
            <w:pPr>
              <w:ind w:left="0" w:firstLine="0"/>
              <w:jc w:val="center"/>
              <w:rPr>
                <w:color w:val="0000FF"/>
              </w:rPr>
            </w:pPr>
            <w:r w:rsidRPr="0064178E">
              <w:rPr>
                <w:color w:val="0000FF"/>
              </w:rPr>
              <w:t>1-6</w:t>
            </w:r>
          </w:p>
        </w:tc>
        <w:tc>
          <w:tcPr>
            <w:tcW w:w="1890" w:type="dxa"/>
          </w:tcPr>
          <w:p w14:paraId="147223FD" w14:textId="06B22654" w:rsidR="0064178E" w:rsidRPr="0064178E" w:rsidRDefault="0064178E" w:rsidP="0064178E">
            <w:pPr>
              <w:ind w:left="0" w:firstLine="0"/>
              <w:jc w:val="center"/>
              <w:rPr>
                <w:color w:val="0000FF"/>
              </w:rPr>
            </w:pPr>
            <w:r w:rsidRPr="0064178E">
              <w:rPr>
                <w:color w:val="0000FF"/>
              </w:rPr>
              <w:t>Class I</w:t>
            </w:r>
          </w:p>
        </w:tc>
        <w:tc>
          <w:tcPr>
            <w:tcW w:w="5868" w:type="dxa"/>
          </w:tcPr>
          <w:p w14:paraId="537FDB77" w14:textId="77777777" w:rsidR="0064178E" w:rsidRPr="0064178E" w:rsidRDefault="0064178E" w:rsidP="006070EC">
            <w:pPr>
              <w:ind w:left="0" w:firstLine="0"/>
              <w:rPr>
                <w:color w:val="0000FF"/>
              </w:rPr>
            </w:pPr>
            <w:r w:rsidRPr="0064178E">
              <w:rPr>
                <w:color w:val="0000FF"/>
              </w:rPr>
              <w:t>Benefit &gt;&gt;&gt; Risk</w:t>
            </w:r>
          </w:p>
          <w:p w14:paraId="79DB5116" w14:textId="5E3AF373" w:rsidR="0064178E" w:rsidRPr="0064178E" w:rsidRDefault="0064178E" w:rsidP="006070EC">
            <w:pPr>
              <w:ind w:left="0" w:firstLine="0"/>
              <w:rPr>
                <w:color w:val="0000FF"/>
              </w:rPr>
            </w:pPr>
            <w:r w:rsidRPr="0064178E">
              <w:rPr>
                <w:color w:val="0000FF"/>
              </w:rPr>
              <w:t>Procedure/Treatment SHOULD be performed/administered</w:t>
            </w:r>
          </w:p>
        </w:tc>
      </w:tr>
    </w:tbl>
    <w:p w14:paraId="54EF8B11" w14:textId="77777777" w:rsidR="006070EC" w:rsidRPr="003B1CC5" w:rsidRDefault="006070EC" w:rsidP="006070EC">
      <w:pPr>
        <w:ind w:left="0" w:firstLine="0"/>
      </w:pPr>
    </w:p>
    <w:p w14:paraId="04B6FD98" w14:textId="77777777" w:rsidR="006070EC" w:rsidRDefault="006070EC" w:rsidP="006070EC">
      <w:pPr>
        <w:ind w:left="0" w:firstLine="0"/>
        <w:rPr>
          <w:color w:val="0000FF"/>
        </w:rPr>
      </w:pPr>
      <w:r w:rsidRPr="009A58D2">
        <w:rPr>
          <w:color w:val="0000FF"/>
        </w:rPr>
        <w:t xml:space="preserve">Guidelines for the </w:t>
      </w:r>
      <w:r>
        <w:rPr>
          <w:color w:val="0000FF"/>
        </w:rPr>
        <w:t>P</w:t>
      </w:r>
      <w:r w:rsidRPr="009A58D2">
        <w:rPr>
          <w:color w:val="0000FF"/>
        </w:rPr>
        <w:t xml:space="preserve">revention of </w:t>
      </w:r>
      <w:r>
        <w:rPr>
          <w:color w:val="0000FF"/>
        </w:rPr>
        <w:t>S</w:t>
      </w:r>
      <w:r w:rsidRPr="009A58D2">
        <w:rPr>
          <w:color w:val="0000FF"/>
        </w:rPr>
        <w:t xml:space="preserve">troke in </w:t>
      </w:r>
      <w:r>
        <w:rPr>
          <w:color w:val="0000FF"/>
        </w:rPr>
        <w:t>P</w:t>
      </w:r>
      <w:r w:rsidRPr="009A58D2">
        <w:rPr>
          <w:color w:val="0000FF"/>
        </w:rPr>
        <w:t xml:space="preserve">atients with </w:t>
      </w:r>
      <w:r>
        <w:rPr>
          <w:color w:val="0000FF"/>
        </w:rPr>
        <w:t>S</w:t>
      </w:r>
      <w:r w:rsidRPr="009A58D2">
        <w:rPr>
          <w:color w:val="0000FF"/>
        </w:rPr>
        <w:t xml:space="preserve">troke and </w:t>
      </w:r>
      <w:r>
        <w:rPr>
          <w:color w:val="0000FF"/>
        </w:rPr>
        <w:t>T</w:t>
      </w:r>
      <w:r w:rsidRPr="009A58D2">
        <w:rPr>
          <w:color w:val="0000FF"/>
        </w:rPr>
        <w:t xml:space="preserve">ransient </w:t>
      </w:r>
      <w:r>
        <w:rPr>
          <w:color w:val="0000FF"/>
        </w:rPr>
        <w:t>I</w:t>
      </w:r>
      <w:r w:rsidRPr="009A58D2">
        <w:rPr>
          <w:color w:val="0000FF"/>
        </w:rPr>
        <w:t xml:space="preserve">schemic </w:t>
      </w:r>
      <w:r>
        <w:rPr>
          <w:color w:val="0000FF"/>
        </w:rPr>
        <w:t>A</w:t>
      </w:r>
      <w:r w:rsidRPr="009A58D2">
        <w:rPr>
          <w:color w:val="0000FF"/>
        </w:rPr>
        <w:t>ttack</w:t>
      </w:r>
      <w:r>
        <w:rPr>
          <w:color w:val="0000FF"/>
        </w:rPr>
        <w:t>: 2014</w:t>
      </w:r>
    </w:p>
    <w:tbl>
      <w:tblPr>
        <w:tblStyle w:val="TableGrid"/>
        <w:tblW w:w="0" w:type="auto"/>
        <w:tblLook w:val="04A0" w:firstRow="1" w:lastRow="0" w:firstColumn="1" w:lastColumn="0" w:noHBand="0" w:noVBand="1"/>
      </w:tblPr>
      <w:tblGrid>
        <w:gridCol w:w="1841"/>
        <w:gridCol w:w="1829"/>
        <w:gridCol w:w="5680"/>
      </w:tblGrid>
      <w:tr w:rsidR="0064178E" w:rsidRPr="0062698B" w14:paraId="4BD986A0" w14:textId="77777777" w:rsidTr="006E011F">
        <w:tc>
          <w:tcPr>
            <w:tcW w:w="1818" w:type="dxa"/>
          </w:tcPr>
          <w:p w14:paraId="383E6B3A" w14:textId="77777777" w:rsidR="0064178E" w:rsidRPr="0062698B" w:rsidRDefault="0064178E" w:rsidP="006E011F">
            <w:pPr>
              <w:ind w:left="0" w:firstLine="0"/>
              <w:jc w:val="center"/>
              <w:rPr>
                <w:b/>
                <w:color w:val="0000FF"/>
              </w:rPr>
            </w:pPr>
            <w:r w:rsidRPr="0062698B">
              <w:rPr>
                <w:b/>
                <w:color w:val="0000FF"/>
              </w:rPr>
              <w:t>Recommendation</w:t>
            </w:r>
          </w:p>
        </w:tc>
        <w:tc>
          <w:tcPr>
            <w:tcW w:w="1890" w:type="dxa"/>
          </w:tcPr>
          <w:p w14:paraId="4DA4669D" w14:textId="77777777" w:rsidR="0064178E" w:rsidRPr="0062698B" w:rsidRDefault="0064178E" w:rsidP="006E011F">
            <w:pPr>
              <w:ind w:left="0" w:firstLine="0"/>
              <w:jc w:val="center"/>
              <w:rPr>
                <w:b/>
                <w:color w:val="0000FF"/>
              </w:rPr>
            </w:pPr>
            <w:r w:rsidRPr="0062698B">
              <w:rPr>
                <w:b/>
                <w:color w:val="0000FF"/>
              </w:rPr>
              <w:t>Grade</w:t>
            </w:r>
          </w:p>
        </w:tc>
        <w:tc>
          <w:tcPr>
            <w:tcW w:w="5868" w:type="dxa"/>
          </w:tcPr>
          <w:p w14:paraId="37016702" w14:textId="77777777" w:rsidR="0064178E" w:rsidRPr="0062698B" w:rsidRDefault="0064178E" w:rsidP="006E011F">
            <w:pPr>
              <w:ind w:left="0" w:firstLine="0"/>
              <w:jc w:val="center"/>
              <w:rPr>
                <w:b/>
                <w:color w:val="0000FF"/>
              </w:rPr>
            </w:pPr>
            <w:r w:rsidRPr="0062698B">
              <w:rPr>
                <w:b/>
                <w:color w:val="0000FF"/>
              </w:rPr>
              <w:t>Definition</w:t>
            </w:r>
          </w:p>
        </w:tc>
      </w:tr>
      <w:tr w:rsidR="0064178E" w14:paraId="423075CB" w14:textId="77777777" w:rsidTr="006E011F">
        <w:tc>
          <w:tcPr>
            <w:tcW w:w="1818" w:type="dxa"/>
          </w:tcPr>
          <w:p w14:paraId="730E8C3A" w14:textId="6FE515E5" w:rsidR="0064178E" w:rsidRPr="0064178E" w:rsidRDefault="0064178E" w:rsidP="0064178E">
            <w:pPr>
              <w:ind w:left="0" w:firstLine="0"/>
              <w:jc w:val="center"/>
              <w:rPr>
                <w:color w:val="0000FF"/>
              </w:rPr>
            </w:pPr>
            <w:r w:rsidRPr="0064178E">
              <w:rPr>
                <w:color w:val="0000FF"/>
              </w:rPr>
              <w:t>1</w:t>
            </w:r>
            <w:r>
              <w:rPr>
                <w:color w:val="0000FF"/>
              </w:rPr>
              <w:t>, 2, 4</w:t>
            </w:r>
          </w:p>
        </w:tc>
        <w:tc>
          <w:tcPr>
            <w:tcW w:w="1890" w:type="dxa"/>
          </w:tcPr>
          <w:p w14:paraId="102680B0" w14:textId="77777777" w:rsidR="0064178E" w:rsidRPr="0064178E" w:rsidRDefault="0064178E" w:rsidP="006E011F">
            <w:pPr>
              <w:ind w:left="0" w:firstLine="0"/>
              <w:jc w:val="center"/>
              <w:rPr>
                <w:color w:val="0000FF"/>
              </w:rPr>
            </w:pPr>
            <w:r w:rsidRPr="0064178E">
              <w:rPr>
                <w:color w:val="0000FF"/>
              </w:rPr>
              <w:t>Class I</w:t>
            </w:r>
          </w:p>
        </w:tc>
        <w:tc>
          <w:tcPr>
            <w:tcW w:w="5868" w:type="dxa"/>
          </w:tcPr>
          <w:p w14:paraId="30239DE8" w14:textId="77777777" w:rsidR="0064178E" w:rsidRPr="0064178E" w:rsidRDefault="0064178E" w:rsidP="006E011F">
            <w:pPr>
              <w:ind w:left="0" w:firstLine="0"/>
              <w:rPr>
                <w:color w:val="0000FF"/>
              </w:rPr>
            </w:pPr>
            <w:r w:rsidRPr="0064178E">
              <w:rPr>
                <w:color w:val="0000FF"/>
              </w:rPr>
              <w:t>Benefit &gt;&gt;&gt; Risk</w:t>
            </w:r>
          </w:p>
          <w:p w14:paraId="616D8913" w14:textId="77777777" w:rsidR="0064178E" w:rsidRPr="0064178E" w:rsidRDefault="0064178E" w:rsidP="006E011F">
            <w:pPr>
              <w:ind w:left="0" w:firstLine="0"/>
              <w:rPr>
                <w:color w:val="0000FF"/>
              </w:rPr>
            </w:pPr>
            <w:r w:rsidRPr="0064178E">
              <w:rPr>
                <w:color w:val="0000FF"/>
              </w:rPr>
              <w:t>Procedure/Treatment SHOULD be performed/administered</w:t>
            </w:r>
          </w:p>
        </w:tc>
      </w:tr>
      <w:tr w:rsidR="002825E6" w14:paraId="159E8004" w14:textId="77777777" w:rsidTr="006E011F">
        <w:tc>
          <w:tcPr>
            <w:tcW w:w="1818" w:type="dxa"/>
          </w:tcPr>
          <w:p w14:paraId="589FB434" w14:textId="7CA1D3D2" w:rsidR="002825E6" w:rsidRPr="0064178E" w:rsidRDefault="002825E6" w:rsidP="0064178E">
            <w:pPr>
              <w:ind w:left="0" w:firstLine="0"/>
              <w:jc w:val="center"/>
              <w:rPr>
                <w:color w:val="0000FF"/>
              </w:rPr>
            </w:pPr>
            <w:r>
              <w:rPr>
                <w:color w:val="0000FF"/>
              </w:rPr>
              <w:t>3</w:t>
            </w:r>
          </w:p>
        </w:tc>
        <w:tc>
          <w:tcPr>
            <w:tcW w:w="1890" w:type="dxa"/>
          </w:tcPr>
          <w:p w14:paraId="01D107D6" w14:textId="67480C3C" w:rsidR="002825E6" w:rsidRPr="0064178E" w:rsidRDefault="002825E6" w:rsidP="006E011F">
            <w:pPr>
              <w:ind w:left="0" w:firstLine="0"/>
              <w:jc w:val="center"/>
              <w:rPr>
                <w:color w:val="0000FF"/>
              </w:rPr>
            </w:pPr>
            <w:r>
              <w:rPr>
                <w:color w:val="0000FF"/>
              </w:rPr>
              <w:t xml:space="preserve">Class </w:t>
            </w:r>
            <w:proofErr w:type="spellStart"/>
            <w:r>
              <w:rPr>
                <w:color w:val="0000FF"/>
              </w:rPr>
              <w:t>IIa</w:t>
            </w:r>
            <w:proofErr w:type="spellEnd"/>
          </w:p>
        </w:tc>
        <w:tc>
          <w:tcPr>
            <w:tcW w:w="5868" w:type="dxa"/>
          </w:tcPr>
          <w:p w14:paraId="520A37D5" w14:textId="77777777" w:rsidR="002825E6" w:rsidRDefault="002825E6" w:rsidP="006E011F">
            <w:pPr>
              <w:ind w:left="0" w:firstLine="0"/>
              <w:rPr>
                <w:color w:val="0000FF"/>
              </w:rPr>
            </w:pPr>
            <w:r>
              <w:rPr>
                <w:color w:val="0000FF"/>
              </w:rPr>
              <w:t>Benefit &gt;&gt; Risk</w:t>
            </w:r>
          </w:p>
          <w:p w14:paraId="1CFA98BC" w14:textId="204BDC05" w:rsidR="002825E6" w:rsidRDefault="002825E6" w:rsidP="006E011F">
            <w:pPr>
              <w:ind w:left="0" w:firstLine="0"/>
              <w:rPr>
                <w:color w:val="0000FF"/>
              </w:rPr>
            </w:pPr>
            <w:r>
              <w:rPr>
                <w:color w:val="0000FF"/>
              </w:rPr>
              <w:t>Additional studies with focused objectives needed</w:t>
            </w:r>
          </w:p>
          <w:p w14:paraId="4B264128" w14:textId="3681084F" w:rsidR="002825E6" w:rsidRPr="0064178E" w:rsidRDefault="002825E6" w:rsidP="006E011F">
            <w:pPr>
              <w:ind w:left="0" w:firstLine="0"/>
              <w:rPr>
                <w:color w:val="0000FF"/>
              </w:rPr>
            </w:pPr>
            <w:r>
              <w:rPr>
                <w:color w:val="0000FF"/>
              </w:rPr>
              <w:t>IT IS REASONABLE to perform procedure/administer treatment</w:t>
            </w:r>
          </w:p>
        </w:tc>
      </w:tr>
    </w:tbl>
    <w:p w14:paraId="5208792A" w14:textId="54C22136" w:rsidR="008A45F3" w:rsidRPr="003B1CC5" w:rsidRDefault="008A45F3" w:rsidP="00265702">
      <w:pPr>
        <w:ind w:left="0" w:firstLine="0"/>
      </w:pPr>
    </w:p>
    <w:p w14:paraId="5208792B" w14:textId="77777777" w:rsidR="00265702"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6AD99C2" w14:textId="77777777" w:rsidR="002825E6" w:rsidRPr="003B1CC5" w:rsidRDefault="002825E6" w:rsidP="00265702">
      <w:pPr>
        <w:ind w:left="0" w:firstLine="0"/>
      </w:pPr>
    </w:p>
    <w:tbl>
      <w:tblPr>
        <w:tblStyle w:val="TableGrid"/>
        <w:tblW w:w="0" w:type="auto"/>
        <w:tblLook w:val="04A0" w:firstRow="1" w:lastRow="0" w:firstColumn="1" w:lastColumn="0" w:noHBand="0" w:noVBand="1"/>
      </w:tblPr>
      <w:tblGrid>
        <w:gridCol w:w="1872"/>
        <w:gridCol w:w="7478"/>
      </w:tblGrid>
      <w:tr w:rsidR="002825E6" w:rsidRPr="0062698B" w14:paraId="75C27C37" w14:textId="77777777" w:rsidTr="002825E6">
        <w:tc>
          <w:tcPr>
            <w:tcW w:w="1908" w:type="dxa"/>
          </w:tcPr>
          <w:p w14:paraId="1944BC39" w14:textId="18C40311" w:rsidR="002825E6" w:rsidRPr="0062698B" w:rsidRDefault="002825E6" w:rsidP="00265702">
            <w:pPr>
              <w:ind w:left="0" w:firstLine="0"/>
              <w:rPr>
                <w:b/>
                <w:color w:val="0000FF"/>
              </w:rPr>
            </w:pPr>
            <w:r w:rsidRPr="0062698B">
              <w:rPr>
                <w:b/>
                <w:color w:val="0000FF"/>
              </w:rPr>
              <w:t>Grade</w:t>
            </w:r>
          </w:p>
        </w:tc>
        <w:tc>
          <w:tcPr>
            <w:tcW w:w="7668" w:type="dxa"/>
          </w:tcPr>
          <w:p w14:paraId="7CF59E2F" w14:textId="32B665A3" w:rsidR="002825E6" w:rsidRPr="0062698B" w:rsidRDefault="002825E6" w:rsidP="00265702">
            <w:pPr>
              <w:ind w:left="0" w:firstLine="0"/>
              <w:rPr>
                <w:b/>
                <w:color w:val="0000FF"/>
              </w:rPr>
            </w:pPr>
            <w:r w:rsidRPr="0062698B">
              <w:rPr>
                <w:b/>
                <w:color w:val="0000FF"/>
              </w:rPr>
              <w:t>Definition</w:t>
            </w:r>
          </w:p>
        </w:tc>
      </w:tr>
      <w:tr w:rsidR="002825E6" w:rsidRPr="002825E6" w14:paraId="0CCCF15B" w14:textId="77777777" w:rsidTr="002825E6">
        <w:tc>
          <w:tcPr>
            <w:tcW w:w="1908" w:type="dxa"/>
          </w:tcPr>
          <w:p w14:paraId="41242FA9" w14:textId="6CF063CB" w:rsidR="002825E6" w:rsidRPr="002825E6" w:rsidRDefault="002825E6" w:rsidP="00265702">
            <w:pPr>
              <w:ind w:left="0" w:firstLine="0"/>
              <w:rPr>
                <w:color w:val="0000FF"/>
              </w:rPr>
            </w:pPr>
            <w:r>
              <w:rPr>
                <w:color w:val="0000FF"/>
              </w:rPr>
              <w:t xml:space="preserve">Class </w:t>
            </w:r>
            <w:proofErr w:type="spellStart"/>
            <w:r w:rsidRPr="002825E6">
              <w:rPr>
                <w:color w:val="0000FF"/>
              </w:rPr>
              <w:t>IIb</w:t>
            </w:r>
            <w:proofErr w:type="spellEnd"/>
          </w:p>
        </w:tc>
        <w:tc>
          <w:tcPr>
            <w:tcW w:w="7668" w:type="dxa"/>
          </w:tcPr>
          <w:p w14:paraId="48DBAC32" w14:textId="77777777" w:rsidR="002825E6" w:rsidRDefault="002825E6" w:rsidP="00265702">
            <w:pPr>
              <w:ind w:left="0" w:firstLine="0"/>
              <w:rPr>
                <w:color w:val="0000FF"/>
              </w:rPr>
            </w:pPr>
            <w:r>
              <w:rPr>
                <w:color w:val="0000FF"/>
              </w:rPr>
              <w:t>Benefit ≥ Risk</w:t>
            </w:r>
          </w:p>
          <w:p w14:paraId="2DC032FC" w14:textId="77777777" w:rsidR="002825E6" w:rsidRDefault="002825E6" w:rsidP="00265702">
            <w:pPr>
              <w:ind w:left="0" w:firstLine="0"/>
              <w:rPr>
                <w:color w:val="0000FF"/>
              </w:rPr>
            </w:pPr>
            <w:r>
              <w:rPr>
                <w:color w:val="0000FF"/>
              </w:rPr>
              <w:t>Additional studies with broad objectives needed; additional registry data would be helpful</w:t>
            </w:r>
          </w:p>
          <w:p w14:paraId="24452C9B" w14:textId="1B9015D1" w:rsidR="002825E6" w:rsidRPr="002825E6" w:rsidRDefault="002825E6" w:rsidP="00265702">
            <w:pPr>
              <w:ind w:left="0" w:firstLine="0"/>
              <w:rPr>
                <w:color w:val="0000FF"/>
              </w:rPr>
            </w:pPr>
            <w:r>
              <w:rPr>
                <w:color w:val="0000FF"/>
              </w:rPr>
              <w:t>Procedure/Treatment MAY BE CONSIDERED</w:t>
            </w:r>
          </w:p>
        </w:tc>
      </w:tr>
      <w:tr w:rsidR="002825E6" w:rsidRPr="002825E6" w14:paraId="1FDE46F1" w14:textId="77777777" w:rsidTr="002825E6">
        <w:tc>
          <w:tcPr>
            <w:tcW w:w="1908" w:type="dxa"/>
          </w:tcPr>
          <w:p w14:paraId="138508D5" w14:textId="3CA435B4" w:rsidR="002825E6" w:rsidRDefault="002825E6" w:rsidP="00265702">
            <w:pPr>
              <w:ind w:left="0" w:firstLine="0"/>
              <w:rPr>
                <w:color w:val="0000FF"/>
              </w:rPr>
            </w:pPr>
            <w:r>
              <w:rPr>
                <w:color w:val="0000FF"/>
              </w:rPr>
              <w:t>Class III</w:t>
            </w:r>
            <w:r w:rsidR="00C43247">
              <w:rPr>
                <w:color w:val="0000FF"/>
              </w:rPr>
              <w:t xml:space="preserve"> – No Benefit</w:t>
            </w:r>
          </w:p>
        </w:tc>
        <w:tc>
          <w:tcPr>
            <w:tcW w:w="7668" w:type="dxa"/>
          </w:tcPr>
          <w:p w14:paraId="06FB119D" w14:textId="4A850008" w:rsidR="002825E6" w:rsidRDefault="00C43247" w:rsidP="00265702">
            <w:pPr>
              <w:ind w:left="0" w:firstLine="0"/>
              <w:rPr>
                <w:color w:val="0000FF"/>
              </w:rPr>
            </w:pPr>
            <w:r>
              <w:rPr>
                <w:color w:val="0000FF"/>
              </w:rPr>
              <w:t>No Benefit</w:t>
            </w:r>
          </w:p>
          <w:p w14:paraId="6B5F22EC" w14:textId="1BE89A22" w:rsidR="00C43247" w:rsidRDefault="00C43247" w:rsidP="00265702">
            <w:pPr>
              <w:ind w:left="0" w:firstLine="0"/>
              <w:rPr>
                <w:color w:val="0000FF"/>
              </w:rPr>
            </w:pPr>
            <w:r>
              <w:rPr>
                <w:color w:val="0000FF"/>
              </w:rPr>
              <w:t xml:space="preserve">Procedure/Test -Not helpful </w:t>
            </w:r>
          </w:p>
          <w:p w14:paraId="71B09F5A" w14:textId="24D9A912" w:rsidR="00C43247" w:rsidRDefault="00C43247" w:rsidP="00C43247">
            <w:pPr>
              <w:ind w:left="0" w:firstLine="0"/>
              <w:rPr>
                <w:color w:val="0000FF"/>
              </w:rPr>
            </w:pPr>
            <w:r>
              <w:rPr>
                <w:color w:val="0000FF"/>
              </w:rPr>
              <w:t>Treatment – No proven benefit</w:t>
            </w:r>
          </w:p>
        </w:tc>
      </w:tr>
      <w:tr w:rsidR="002825E6" w:rsidRPr="002825E6" w14:paraId="058B6D83" w14:textId="77777777" w:rsidTr="002825E6">
        <w:tc>
          <w:tcPr>
            <w:tcW w:w="1908" w:type="dxa"/>
          </w:tcPr>
          <w:p w14:paraId="2E4E080B" w14:textId="02AD14E8" w:rsidR="002825E6" w:rsidRDefault="00C43247" w:rsidP="00265702">
            <w:pPr>
              <w:ind w:left="0" w:firstLine="0"/>
              <w:rPr>
                <w:color w:val="0000FF"/>
              </w:rPr>
            </w:pPr>
            <w:r>
              <w:rPr>
                <w:color w:val="0000FF"/>
              </w:rPr>
              <w:t>Class III - Harm</w:t>
            </w:r>
          </w:p>
        </w:tc>
        <w:tc>
          <w:tcPr>
            <w:tcW w:w="7668" w:type="dxa"/>
          </w:tcPr>
          <w:p w14:paraId="3D60EAF6" w14:textId="77777777" w:rsidR="002825E6" w:rsidRDefault="00C43247" w:rsidP="00265702">
            <w:pPr>
              <w:ind w:left="0" w:firstLine="0"/>
              <w:rPr>
                <w:color w:val="0000FF"/>
              </w:rPr>
            </w:pPr>
            <w:r>
              <w:rPr>
                <w:color w:val="0000FF"/>
              </w:rPr>
              <w:t>Harm</w:t>
            </w:r>
          </w:p>
          <w:p w14:paraId="456DCF23" w14:textId="77777777" w:rsidR="00C43247" w:rsidRDefault="00C43247" w:rsidP="00265702">
            <w:pPr>
              <w:ind w:left="0" w:firstLine="0"/>
              <w:rPr>
                <w:color w:val="0000FF"/>
              </w:rPr>
            </w:pPr>
            <w:r>
              <w:rPr>
                <w:color w:val="0000FF"/>
              </w:rPr>
              <w:t>Procedure/Test – Excess cost without benefit or harmful</w:t>
            </w:r>
          </w:p>
          <w:p w14:paraId="0297685D" w14:textId="77965A37" w:rsidR="00C43247" w:rsidRDefault="00C43247" w:rsidP="00C43247">
            <w:pPr>
              <w:ind w:left="0" w:firstLine="0"/>
              <w:rPr>
                <w:color w:val="0000FF"/>
              </w:rPr>
            </w:pPr>
            <w:r>
              <w:rPr>
                <w:color w:val="0000FF"/>
              </w:rPr>
              <w:t>Treatment – Harmful to patients</w:t>
            </w:r>
          </w:p>
        </w:tc>
      </w:tr>
    </w:tbl>
    <w:p w14:paraId="5208792C" w14:textId="4A22BEFA" w:rsidR="00A12762" w:rsidRPr="003B1CC5" w:rsidRDefault="00A12762" w:rsidP="00265702">
      <w:pPr>
        <w:ind w:left="0" w:firstLine="0"/>
        <w:rPr>
          <w:b/>
        </w:rPr>
      </w:pP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3470F73F" w14:textId="77777777" w:rsidR="004E7AB1" w:rsidRDefault="004E7AB1" w:rsidP="002E2177">
      <w:pPr>
        <w:ind w:left="432" w:hanging="432"/>
        <w:rPr>
          <w:color w:val="0000FF"/>
        </w:rPr>
      </w:pPr>
    </w:p>
    <w:p w14:paraId="5208792F" w14:textId="3587DACF" w:rsidR="00736AEC" w:rsidRDefault="00C43247" w:rsidP="004E7AB1">
      <w:pPr>
        <w:ind w:left="0" w:firstLine="0"/>
        <w:rPr>
          <w:color w:val="0000FF"/>
        </w:rPr>
      </w:pPr>
      <w:r>
        <w:rPr>
          <w:color w:val="0000FF"/>
        </w:rPr>
        <w:t xml:space="preserve">Both guidelines </w:t>
      </w:r>
      <w:r w:rsidR="00A21A05">
        <w:rPr>
          <w:color w:val="0000FF"/>
        </w:rPr>
        <w:t xml:space="preserve">cited in 1a.4.1 </w:t>
      </w:r>
      <w:r>
        <w:rPr>
          <w:color w:val="0000FF"/>
        </w:rPr>
        <w:t>use the same methodology for grading recommendations.</w:t>
      </w:r>
    </w:p>
    <w:p w14:paraId="7646247D" w14:textId="77777777" w:rsidR="004465E8" w:rsidRDefault="004465E8" w:rsidP="004E7AB1">
      <w:pPr>
        <w:ind w:left="0" w:firstLine="0"/>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E43172"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DBECDB9" w:rsidR="00736AEC" w:rsidRPr="003B1CC5" w:rsidRDefault="00E43172"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4E7AB1">
            <w:rPr>
              <w:rFonts w:ascii="MS Gothic" w:eastAsia="MS Gothic" w:hAnsi="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22B31880" w14:textId="77777777" w:rsidR="002F04A1" w:rsidRPr="003B1CC5" w:rsidRDefault="002F04A1"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Pr="003B1CC5" w:rsidRDefault="00307FA5"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5E9B49A7" w:rsidR="00EE5AF6" w:rsidRPr="00144B15" w:rsidRDefault="00144B15" w:rsidP="00EE5AF6">
      <w:pPr>
        <w:ind w:left="0" w:firstLine="0"/>
        <w:rPr>
          <w:color w:val="0000FF"/>
        </w:rPr>
      </w:pPr>
      <w:r>
        <w:rPr>
          <w:color w:val="0000FF"/>
        </w:rPr>
        <w:t xml:space="preserve">Both </w:t>
      </w:r>
      <w:r w:rsidR="003B0F1B">
        <w:rPr>
          <w:color w:val="0000FF"/>
        </w:rPr>
        <w:t xml:space="preserve">clinical </w:t>
      </w:r>
      <w:r>
        <w:rPr>
          <w:color w:val="0000FF"/>
        </w:rPr>
        <w:t xml:space="preserve">guidelines </w:t>
      </w:r>
      <w:r w:rsidR="002F04A1" w:rsidRPr="002F04A1">
        <w:rPr>
          <w:color w:val="0000FF"/>
        </w:rPr>
        <w:t>cited in 1a.4.1</w:t>
      </w:r>
      <w:r w:rsidR="002F04A1">
        <w:rPr>
          <w:color w:val="0000FF"/>
        </w:rPr>
        <w:t xml:space="preserve"> </w:t>
      </w:r>
      <w:r>
        <w:rPr>
          <w:color w:val="0000FF"/>
        </w:rPr>
        <w:t xml:space="preserve">cover a much </w:t>
      </w:r>
      <w:r w:rsidR="0062698B">
        <w:rPr>
          <w:color w:val="0000FF"/>
        </w:rPr>
        <w:t>broader</w:t>
      </w:r>
      <w:r>
        <w:rPr>
          <w:color w:val="0000FF"/>
        </w:rPr>
        <w:t xml:space="preserve"> topic area</w:t>
      </w:r>
      <w:r w:rsidR="003B0F1B">
        <w:rPr>
          <w:color w:val="0000FF"/>
        </w:rPr>
        <w:t xml:space="preserve"> (i.e., secondary prevention)</w:t>
      </w:r>
      <w:r>
        <w:rPr>
          <w:color w:val="0000FF"/>
        </w:rPr>
        <w:t xml:space="preserve"> than just antiplatelet therapy and do not discuss in detail the evidence review process used for each antiplatelet therapy recommendation. They do, however, provide a grade of the evidence </w:t>
      </w:r>
      <w:r w:rsidR="00392504">
        <w:rPr>
          <w:color w:val="0000FF"/>
        </w:rPr>
        <w:t>for each of the</w:t>
      </w:r>
      <w:r>
        <w:rPr>
          <w:color w:val="0000FF"/>
        </w:rPr>
        <w:t xml:space="preserve"> recommendations and cite </w:t>
      </w:r>
      <w:r w:rsidR="00716CD2">
        <w:rPr>
          <w:color w:val="0000FF"/>
        </w:rPr>
        <w:t xml:space="preserve">multiple </w:t>
      </w:r>
      <w:r w:rsidR="003B0F1B">
        <w:rPr>
          <w:color w:val="0000FF"/>
        </w:rPr>
        <w:t>studies</w:t>
      </w:r>
      <w:r w:rsidR="00375838">
        <w:rPr>
          <w:color w:val="0000FF"/>
        </w:rPr>
        <w:t>, other guidelines,</w:t>
      </w:r>
      <w:r w:rsidR="003B0F1B">
        <w:rPr>
          <w:color w:val="0000FF"/>
        </w:rPr>
        <w:t xml:space="preserve"> and</w:t>
      </w:r>
      <w:r>
        <w:rPr>
          <w:color w:val="0000FF"/>
        </w:rPr>
        <w:t xml:space="preserve"> systematic reviews supporting th</w:t>
      </w:r>
      <w:r w:rsidR="003B0F1B">
        <w:rPr>
          <w:color w:val="0000FF"/>
        </w:rPr>
        <w:t>ose</w:t>
      </w:r>
      <w:r>
        <w:rPr>
          <w:color w:val="0000FF"/>
        </w:rPr>
        <w:t xml:space="preserve"> recommendations. </w:t>
      </w:r>
      <w:r w:rsidR="00392504">
        <w:rPr>
          <w:color w:val="0000FF"/>
        </w:rPr>
        <w:t>Therefore, to answer the questions in 1a.7, w</w:t>
      </w:r>
      <w:r>
        <w:rPr>
          <w:color w:val="0000FF"/>
        </w:rPr>
        <w:t xml:space="preserve">e are using the evidence grades </w:t>
      </w:r>
      <w:r w:rsidR="00053EF6">
        <w:rPr>
          <w:color w:val="0000FF"/>
        </w:rPr>
        <w:t>provided</w:t>
      </w:r>
      <w:r>
        <w:rPr>
          <w:color w:val="0000FF"/>
        </w:rPr>
        <w:t xml:space="preserve"> </w:t>
      </w:r>
      <w:r w:rsidR="003B0F1B">
        <w:rPr>
          <w:color w:val="0000FF"/>
        </w:rPr>
        <w:t xml:space="preserve">in the guidelines </w:t>
      </w:r>
      <w:r w:rsidR="0062698B">
        <w:rPr>
          <w:color w:val="0000FF"/>
        </w:rPr>
        <w:t>and</w:t>
      </w:r>
      <w:r>
        <w:rPr>
          <w:color w:val="0000FF"/>
        </w:rPr>
        <w:t xml:space="preserve"> referen</w:t>
      </w:r>
      <w:r w:rsidR="00CC1E68">
        <w:rPr>
          <w:color w:val="0000FF"/>
        </w:rPr>
        <w:t xml:space="preserve">cing </w:t>
      </w:r>
      <w:r w:rsidR="00375838">
        <w:rPr>
          <w:color w:val="0000FF"/>
        </w:rPr>
        <w:t>one seminal systematic review</w:t>
      </w:r>
      <w:r w:rsidR="00CC1E68">
        <w:rPr>
          <w:color w:val="0000FF"/>
        </w:rPr>
        <w:t xml:space="preserve"> </w:t>
      </w:r>
      <w:r>
        <w:rPr>
          <w:color w:val="0000FF"/>
        </w:rPr>
        <w:t>cite</w:t>
      </w:r>
      <w:r w:rsidR="003B0F1B">
        <w:rPr>
          <w:color w:val="0000FF"/>
        </w:rPr>
        <w:t>d</w:t>
      </w:r>
      <w:r>
        <w:rPr>
          <w:color w:val="0000FF"/>
        </w:rPr>
        <w:t xml:space="preserve"> </w:t>
      </w:r>
      <w:r w:rsidR="003B0F1B">
        <w:rPr>
          <w:color w:val="0000FF"/>
        </w:rPr>
        <w:t xml:space="preserve">in the guidelines that </w:t>
      </w:r>
      <w:r w:rsidR="0006685E">
        <w:rPr>
          <w:color w:val="0000FF"/>
        </w:rPr>
        <w:t>summarizes</w:t>
      </w:r>
      <w:r w:rsidR="003B0F1B">
        <w:rPr>
          <w:color w:val="0000FF"/>
        </w:rPr>
        <w:t xml:space="preserve"> the body of evidence</w:t>
      </w:r>
      <w:r w:rsidR="00F11199">
        <w:rPr>
          <w:color w:val="0000FF"/>
        </w:rPr>
        <w:t xml:space="preserve"> supporting the recommendations</w:t>
      </w:r>
      <w:r w:rsidR="003B0F1B">
        <w:rPr>
          <w:color w:val="0000FF"/>
        </w:rPr>
        <w:t>.</w:t>
      </w:r>
    </w:p>
    <w:p w14:paraId="52087947" w14:textId="77777777" w:rsidR="00EE5AF6" w:rsidRDefault="00EE5AF6" w:rsidP="00EE5AF6">
      <w:pPr>
        <w:ind w:left="0" w:firstLine="0"/>
        <w:rPr>
          <w:rFonts w:cs="Arial"/>
          <w:sz w:val="20"/>
          <w:szCs w:val="20"/>
        </w:rPr>
      </w:pPr>
    </w:p>
    <w:p w14:paraId="24CFBE40" w14:textId="39CDF347" w:rsidR="0062698B" w:rsidRPr="00B70E30" w:rsidRDefault="0062698B" w:rsidP="00B70E30">
      <w:pPr>
        <w:pStyle w:val="ListParagraph"/>
        <w:numPr>
          <w:ilvl w:val="0"/>
          <w:numId w:val="9"/>
        </w:numPr>
        <w:rPr>
          <w:rFonts w:cs="Arial"/>
          <w:color w:val="0000FF"/>
        </w:rPr>
      </w:pPr>
      <w:r w:rsidRPr="00B70E30">
        <w:rPr>
          <w:rFonts w:cs="Arial"/>
          <w:color w:val="0000FF"/>
        </w:rPr>
        <w:t xml:space="preserve">Antithrombotic </w:t>
      </w:r>
      <w:proofErr w:type="spellStart"/>
      <w:r w:rsidRPr="00B70E30">
        <w:rPr>
          <w:rFonts w:cs="Arial"/>
          <w:color w:val="0000FF"/>
        </w:rPr>
        <w:t>Trialists</w:t>
      </w:r>
      <w:proofErr w:type="spellEnd"/>
      <w:r w:rsidRPr="00B70E30">
        <w:rPr>
          <w:rFonts w:cs="Arial"/>
          <w:color w:val="0000FF"/>
        </w:rPr>
        <w:t xml:space="preserve">' Collaboration Collaborative meta-analysis of </w:t>
      </w:r>
      <w:proofErr w:type="spellStart"/>
      <w:r w:rsidRPr="00B70E30">
        <w:rPr>
          <w:rFonts w:cs="Arial"/>
          <w:color w:val="0000FF"/>
        </w:rPr>
        <w:t>randomised</w:t>
      </w:r>
      <w:proofErr w:type="spellEnd"/>
      <w:r w:rsidRPr="00B70E30">
        <w:rPr>
          <w:rFonts w:cs="Arial"/>
          <w:color w:val="0000FF"/>
        </w:rPr>
        <w:t xml:space="preserve"> trials of antiplatelet therapy for prevention of death, myocardial infarction, and stroke in high risk patients. BMJ. 2002</w:t>
      </w:r>
      <w:proofErr w:type="gramStart"/>
      <w:r w:rsidRPr="00B70E30">
        <w:rPr>
          <w:rFonts w:cs="Arial"/>
          <w:color w:val="0000FF"/>
        </w:rPr>
        <w:t>;324:71</w:t>
      </w:r>
      <w:proofErr w:type="gramEnd"/>
      <w:r w:rsidRPr="00B70E30">
        <w:rPr>
          <w:rFonts w:cs="Arial"/>
          <w:color w:val="0000FF"/>
        </w:rPr>
        <w:t>–86.</w:t>
      </w:r>
    </w:p>
    <w:p w14:paraId="5088F507" w14:textId="1345D3C0" w:rsidR="0062698B" w:rsidRPr="00B70E30" w:rsidRDefault="00E43172" w:rsidP="00B70E30">
      <w:pPr>
        <w:ind w:left="0" w:firstLine="720"/>
        <w:rPr>
          <w:rFonts w:cs="Arial"/>
          <w:color w:val="0000FF"/>
        </w:rPr>
      </w:pPr>
      <w:hyperlink r:id="rId20" w:history="1">
        <w:r w:rsidR="0062698B" w:rsidRPr="00B70E30">
          <w:rPr>
            <w:rStyle w:val="Hyperlink"/>
            <w:rFonts w:cs="Arial"/>
          </w:rPr>
          <w:t>http://www.bmj.com/content/324/7329/71.long</w:t>
        </w:r>
      </w:hyperlink>
    </w:p>
    <w:p w14:paraId="4FB9DAF3" w14:textId="77777777" w:rsidR="0062698B" w:rsidRDefault="0062698B" w:rsidP="00EE5AF6">
      <w:pPr>
        <w:ind w:left="0" w:firstLine="0"/>
        <w:rPr>
          <w:rFonts w:cs="Arial"/>
          <w:color w:val="0000FF"/>
          <w:sz w:val="20"/>
          <w:szCs w:val="20"/>
        </w:rPr>
      </w:pPr>
    </w:p>
    <w:p w14:paraId="50C26EB2" w14:textId="77777777" w:rsidR="0062698B" w:rsidRPr="003B1CC5" w:rsidRDefault="0062698B" w:rsidP="00EE5AF6">
      <w:pPr>
        <w:ind w:left="0" w:firstLine="0"/>
        <w:rPr>
          <w:rFonts w:cs="Arial"/>
          <w:sz w:val="20"/>
          <w:szCs w:val="20"/>
        </w:rPr>
      </w:pP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Default="005D0FDB" w:rsidP="00EE5AF6">
      <w:pPr>
        <w:ind w:left="0" w:firstLine="0"/>
      </w:pPr>
    </w:p>
    <w:p w14:paraId="7D9C91A7" w14:textId="6E34A7E1" w:rsidR="004465E8" w:rsidRPr="004465E8" w:rsidRDefault="004465E8" w:rsidP="00EE5AF6">
      <w:pPr>
        <w:ind w:left="0" w:firstLine="0"/>
        <w:rPr>
          <w:color w:val="0000FF"/>
        </w:rPr>
      </w:pPr>
      <w:r w:rsidRPr="004465E8">
        <w:rPr>
          <w:color w:val="0000FF"/>
        </w:rPr>
        <w:t xml:space="preserve">Both guidelines cited in 1a.4.1 use the same methodology for grading </w:t>
      </w:r>
      <w:r>
        <w:rPr>
          <w:color w:val="0000FF"/>
        </w:rPr>
        <w:t>evidence</w:t>
      </w:r>
      <w:r w:rsidRPr="004465E8">
        <w:rPr>
          <w:color w:val="0000FF"/>
        </w:rPr>
        <w:t>.</w:t>
      </w:r>
    </w:p>
    <w:p w14:paraId="7A8CB956" w14:textId="77777777" w:rsidR="004465E8" w:rsidRDefault="004465E8"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0665844E" w14:textId="77777777" w:rsidR="0006685E" w:rsidRDefault="0006685E" w:rsidP="00EE5AF6">
      <w:pPr>
        <w:ind w:left="0" w:firstLine="0"/>
        <w:rPr>
          <w:color w:val="0000FF"/>
        </w:rPr>
      </w:pPr>
    </w:p>
    <w:p w14:paraId="52087950" w14:textId="6BA8CC86" w:rsidR="00EE5AF6" w:rsidRPr="00053EF6" w:rsidRDefault="00053EF6" w:rsidP="00EE5AF6">
      <w:pPr>
        <w:ind w:left="0" w:firstLine="0"/>
        <w:rPr>
          <w:color w:val="0000FF"/>
        </w:rPr>
      </w:pPr>
      <w:r w:rsidRPr="00053EF6">
        <w:rPr>
          <w:color w:val="0000FF"/>
        </w:rPr>
        <w:t xml:space="preserve">Antithrombotic </w:t>
      </w:r>
      <w:proofErr w:type="spellStart"/>
      <w:r w:rsidRPr="00053EF6">
        <w:rPr>
          <w:color w:val="0000FF"/>
        </w:rPr>
        <w:t>Trialists</w:t>
      </w:r>
      <w:proofErr w:type="spellEnd"/>
      <w:r w:rsidRPr="00053EF6">
        <w:rPr>
          <w:color w:val="0000FF"/>
        </w:rPr>
        <w:t xml:space="preserve">' Collaboration </w:t>
      </w:r>
      <w:r>
        <w:rPr>
          <w:color w:val="0000FF"/>
        </w:rPr>
        <w:t>M</w:t>
      </w:r>
      <w:r w:rsidRPr="00053EF6">
        <w:rPr>
          <w:color w:val="0000FF"/>
        </w:rPr>
        <w:t>eta-</w:t>
      </w:r>
      <w:r>
        <w:rPr>
          <w:color w:val="0000FF"/>
        </w:rPr>
        <w:t>A</w:t>
      </w:r>
      <w:r w:rsidRPr="00053EF6">
        <w:rPr>
          <w:color w:val="0000FF"/>
        </w:rPr>
        <w:t>nalysis</w:t>
      </w:r>
    </w:p>
    <w:p w14:paraId="4DF4AE77" w14:textId="7747243A" w:rsidR="00053EF6" w:rsidRDefault="00053EF6" w:rsidP="0016210E">
      <w:pPr>
        <w:rPr>
          <w:color w:val="0000FF"/>
        </w:rPr>
      </w:pPr>
      <w:r>
        <w:rPr>
          <w:color w:val="0000FF"/>
        </w:rPr>
        <w:tab/>
        <w:t>This meta-analysis of randomized trials sought to determine the effects of antiplatelet therapy among patients at high risk of o</w:t>
      </w:r>
      <w:r w:rsidR="001F48FB">
        <w:rPr>
          <w:color w:val="0000FF"/>
        </w:rPr>
        <w:t xml:space="preserve">cclusive vascular events and </w:t>
      </w:r>
      <w:r w:rsidR="0006685E">
        <w:rPr>
          <w:color w:val="0000FF"/>
        </w:rPr>
        <w:t>studie</w:t>
      </w:r>
      <w:r w:rsidR="002E0CEF">
        <w:rPr>
          <w:color w:val="0000FF"/>
        </w:rPr>
        <w:t>d</w:t>
      </w:r>
      <w:r w:rsidR="001F48FB">
        <w:rPr>
          <w:color w:val="0000FF"/>
        </w:rPr>
        <w:t xml:space="preserve"> </w:t>
      </w:r>
      <w:r>
        <w:rPr>
          <w:color w:val="0000FF"/>
        </w:rPr>
        <w:t>non-fatal myocardial infarctions, non-fatal stroke</w:t>
      </w:r>
      <w:r w:rsidR="0016210E">
        <w:rPr>
          <w:color w:val="0000FF"/>
        </w:rPr>
        <w:t xml:space="preserve"> (</w:t>
      </w:r>
      <w:r w:rsidR="0016210E" w:rsidRPr="0016210E">
        <w:rPr>
          <w:color w:val="0000FF"/>
        </w:rPr>
        <w:t>subdivided into</w:t>
      </w:r>
      <w:r w:rsidR="0016210E">
        <w:rPr>
          <w:color w:val="0000FF"/>
        </w:rPr>
        <w:t xml:space="preserve"> </w:t>
      </w:r>
      <w:r w:rsidR="0016210E" w:rsidRPr="0016210E">
        <w:rPr>
          <w:color w:val="0000FF"/>
        </w:rPr>
        <w:t>intracranial hemorrhages and strokes of ischemic or unknown</w:t>
      </w:r>
      <w:r w:rsidR="0016210E">
        <w:rPr>
          <w:color w:val="0000FF"/>
        </w:rPr>
        <w:t xml:space="preserve"> </w:t>
      </w:r>
      <w:bookmarkStart w:id="9" w:name="_GoBack"/>
      <w:bookmarkEnd w:id="9"/>
      <w:r w:rsidR="0016210E" w:rsidRPr="0016210E">
        <w:rPr>
          <w:color w:val="0000FF"/>
        </w:rPr>
        <w:t>etiology</w:t>
      </w:r>
      <w:r w:rsidR="0016210E">
        <w:rPr>
          <w:color w:val="0000FF"/>
        </w:rPr>
        <w:t>)</w:t>
      </w:r>
      <w:r>
        <w:rPr>
          <w:color w:val="0000FF"/>
        </w:rPr>
        <w:t xml:space="preserve">, </w:t>
      </w:r>
      <w:r w:rsidR="002E0CEF">
        <w:rPr>
          <w:color w:val="0000FF"/>
        </w:rPr>
        <w:t>and</w:t>
      </w:r>
      <w:r>
        <w:rPr>
          <w:color w:val="0000FF"/>
        </w:rPr>
        <w:t xml:space="preserve"> vascular death</w:t>
      </w:r>
      <w:r w:rsidR="001F48FB">
        <w:rPr>
          <w:color w:val="0000FF"/>
        </w:rPr>
        <w:t xml:space="preserve"> as main outcomes</w:t>
      </w:r>
      <w:r>
        <w:rPr>
          <w:color w:val="0000FF"/>
        </w:rPr>
        <w:t>.</w:t>
      </w:r>
      <w:r w:rsidR="001F48FB" w:rsidRPr="001F48FB">
        <w:rPr>
          <w:color w:val="0000FF"/>
        </w:rPr>
        <w:t xml:space="preserve"> </w:t>
      </w:r>
    </w:p>
    <w:p w14:paraId="578E43ED" w14:textId="77777777" w:rsidR="001F48FB" w:rsidRPr="00053EF6" w:rsidRDefault="001F48FB" w:rsidP="00053EF6">
      <w:pPr>
        <w:rPr>
          <w:color w:val="0000FF"/>
        </w:rPr>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78C522C0" w14:textId="77777777" w:rsidR="00C60783" w:rsidRDefault="00C60783" w:rsidP="00C60783">
      <w:pPr>
        <w:ind w:left="0" w:firstLine="0"/>
      </w:pPr>
    </w:p>
    <w:p w14:paraId="3DD3257F" w14:textId="77777777" w:rsidR="00C60783" w:rsidRPr="00B62423" w:rsidRDefault="00C60783" w:rsidP="00C60783">
      <w:pPr>
        <w:ind w:left="0" w:firstLine="0"/>
        <w:rPr>
          <w:color w:val="0000FF"/>
        </w:rPr>
      </w:pPr>
      <w:r w:rsidRPr="002F04A1">
        <w:rPr>
          <w:color w:val="0000FF"/>
        </w:rPr>
        <w:t>AHA/ACCF Secondary Prevention and Risk Reduction Therapy for Patients with Coronary and Other Atherosclerotic Vascular Disease: 2011 Update</w:t>
      </w:r>
    </w:p>
    <w:tbl>
      <w:tblPr>
        <w:tblStyle w:val="TableGrid"/>
        <w:tblW w:w="0" w:type="auto"/>
        <w:tblLook w:val="04A0" w:firstRow="1" w:lastRow="0" w:firstColumn="1" w:lastColumn="0" w:noHBand="0" w:noVBand="1"/>
      </w:tblPr>
      <w:tblGrid>
        <w:gridCol w:w="1841"/>
        <w:gridCol w:w="1838"/>
        <w:gridCol w:w="5671"/>
      </w:tblGrid>
      <w:tr w:rsidR="00C60783" w:rsidRPr="0062698B" w14:paraId="51D72269" w14:textId="77777777" w:rsidTr="00D622B7">
        <w:tc>
          <w:tcPr>
            <w:tcW w:w="1841" w:type="dxa"/>
          </w:tcPr>
          <w:p w14:paraId="68525BD1" w14:textId="77777777" w:rsidR="00C60783" w:rsidRPr="0062698B" w:rsidRDefault="00C60783" w:rsidP="00D622B7">
            <w:pPr>
              <w:ind w:left="0" w:firstLine="0"/>
              <w:jc w:val="center"/>
              <w:rPr>
                <w:b/>
                <w:color w:val="0000FF"/>
              </w:rPr>
            </w:pPr>
            <w:r w:rsidRPr="0062698B">
              <w:rPr>
                <w:b/>
                <w:color w:val="0000FF"/>
              </w:rPr>
              <w:t>Recommendation</w:t>
            </w:r>
          </w:p>
        </w:tc>
        <w:tc>
          <w:tcPr>
            <w:tcW w:w="1885" w:type="dxa"/>
          </w:tcPr>
          <w:p w14:paraId="3A99433B" w14:textId="77777777" w:rsidR="00C60783" w:rsidRPr="0062698B" w:rsidRDefault="00C60783" w:rsidP="00D622B7">
            <w:pPr>
              <w:ind w:left="0" w:firstLine="0"/>
              <w:jc w:val="center"/>
              <w:rPr>
                <w:b/>
                <w:color w:val="0000FF"/>
              </w:rPr>
            </w:pPr>
            <w:r w:rsidRPr="0062698B">
              <w:rPr>
                <w:b/>
                <w:color w:val="0000FF"/>
              </w:rPr>
              <w:t>Grade</w:t>
            </w:r>
          </w:p>
        </w:tc>
        <w:tc>
          <w:tcPr>
            <w:tcW w:w="5850" w:type="dxa"/>
          </w:tcPr>
          <w:p w14:paraId="24B51443" w14:textId="77777777" w:rsidR="00C60783" w:rsidRPr="0062698B" w:rsidRDefault="00C60783" w:rsidP="00D622B7">
            <w:pPr>
              <w:ind w:left="0" w:firstLine="0"/>
              <w:jc w:val="center"/>
              <w:rPr>
                <w:b/>
                <w:color w:val="0000FF"/>
              </w:rPr>
            </w:pPr>
            <w:r w:rsidRPr="0062698B">
              <w:rPr>
                <w:b/>
                <w:color w:val="0000FF"/>
              </w:rPr>
              <w:t>Definition</w:t>
            </w:r>
          </w:p>
        </w:tc>
      </w:tr>
      <w:tr w:rsidR="00C60783" w14:paraId="598FCFCB" w14:textId="77777777" w:rsidTr="00D622B7">
        <w:tc>
          <w:tcPr>
            <w:tcW w:w="1841" w:type="dxa"/>
            <w:tcBorders>
              <w:bottom w:val="single" w:sz="4" w:space="0" w:color="auto"/>
            </w:tcBorders>
          </w:tcPr>
          <w:p w14:paraId="454FE857" w14:textId="77777777" w:rsidR="00C60783" w:rsidRPr="0064178E" w:rsidRDefault="00C60783" w:rsidP="00D622B7">
            <w:pPr>
              <w:ind w:left="0" w:firstLine="0"/>
              <w:jc w:val="center"/>
              <w:rPr>
                <w:color w:val="0000FF"/>
              </w:rPr>
            </w:pPr>
            <w:r w:rsidRPr="0064178E">
              <w:rPr>
                <w:color w:val="0000FF"/>
              </w:rPr>
              <w:t>1</w:t>
            </w:r>
            <w:r>
              <w:rPr>
                <w:color w:val="0000FF"/>
              </w:rPr>
              <w:t>-3, 5, 6</w:t>
            </w:r>
          </w:p>
        </w:tc>
        <w:tc>
          <w:tcPr>
            <w:tcW w:w="1885" w:type="dxa"/>
            <w:tcBorders>
              <w:bottom w:val="single" w:sz="4" w:space="0" w:color="auto"/>
            </w:tcBorders>
          </w:tcPr>
          <w:p w14:paraId="25913569" w14:textId="6F7B86F4" w:rsidR="00C60783" w:rsidRPr="0064178E" w:rsidRDefault="00C60783" w:rsidP="00D622B7">
            <w:pPr>
              <w:ind w:left="0" w:firstLine="0"/>
              <w:jc w:val="center"/>
              <w:rPr>
                <w:color w:val="0000FF"/>
              </w:rPr>
            </w:pPr>
            <w:r>
              <w:rPr>
                <w:color w:val="0000FF"/>
              </w:rPr>
              <w:t>Level A</w:t>
            </w:r>
          </w:p>
        </w:tc>
        <w:tc>
          <w:tcPr>
            <w:tcW w:w="5850" w:type="dxa"/>
            <w:tcBorders>
              <w:bottom w:val="single" w:sz="4" w:space="0" w:color="auto"/>
            </w:tcBorders>
          </w:tcPr>
          <w:p w14:paraId="4EBAD4E3" w14:textId="77777777" w:rsidR="00C60783" w:rsidRDefault="00C60783" w:rsidP="00D622B7">
            <w:pPr>
              <w:ind w:left="0" w:firstLine="0"/>
              <w:rPr>
                <w:color w:val="0000FF"/>
              </w:rPr>
            </w:pPr>
            <w:r>
              <w:rPr>
                <w:color w:val="0000FF"/>
              </w:rPr>
              <w:t>Multiple populations evaluated*</w:t>
            </w:r>
          </w:p>
          <w:p w14:paraId="7085D6D6" w14:textId="77777777" w:rsidR="00C60783" w:rsidRPr="0064178E" w:rsidRDefault="00C60783" w:rsidP="00D622B7">
            <w:pPr>
              <w:ind w:left="0" w:firstLine="0"/>
              <w:rPr>
                <w:color w:val="0000FF"/>
              </w:rPr>
            </w:pPr>
            <w:r>
              <w:rPr>
                <w:color w:val="0000FF"/>
              </w:rPr>
              <w:t>Data derived from multiple randomized clinical trials or meta-analyses</w:t>
            </w:r>
          </w:p>
        </w:tc>
      </w:tr>
      <w:tr w:rsidR="00C60783" w14:paraId="2285819A" w14:textId="77777777" w:rsidTr="00D622B7">
        <w:tc>
          <w:tcPr>
            <w:tcW w:w="1841" w:type="dxa"/>
            <w:tcBorders>
              <w:bottom w:val="single" w:sz="4" w:space="0" w:color="auto"/>
            </w:tcBorders>
          </w:tcPr>
          <w:p w14:paraId="7D2388EB" w14:textId="77777777" w:rsidR="00C60783" w:rsidRPr="0064178E" w:rsidRDefault="00C60783" w:rsidP="00D622B7">
            <w:pPr>
              <w:ind w:left="0" w:firstLine="0"/>
              <w:jc w:val="center"/>
              <w:rPr>
                <w:color w:val="0000FF"/>
              </w:rPr>
            </w:pPr>
            <w:r>
              <w:rPr>
                <w:color w:val="0000FF"/>
              </w:rPr>
              <w:t>4, sub-bullet of recommendation 1</w:t>
            </w:r>
          </w:p>
        </w:tc>
        <w:tc>
          <w:tcPr>
            <w:tcW w:w="1885" w:type="dxa"/>
            <w:tcBorders>
              <w:bottom w:val="single" w:sz="4" w:space="0" w:color="auto"/>
            </w:tcBorders>
          </w:tcPr>
          <w:p w14:paraId="574887F8" w14:textId="0AD383FF" w:rsidR="00C60783" w:rsidRPr="0064178E" w:rsidRDefault="00C60783" w:rsidP="00D622B7">
            <w:pPr>
              <w:ind w:left="0" w:firstLine="0"/>
              <w:jc w:val="center"/>
              <w:rPr>
                <w:color w:val="0000FF"/>
              </w:rPr>
            </w:pPr>
            <w:r>
              <w:rPr>
                <w:color w:val="0000FF"/>
              </w:rPr>
              <w:t>Level B</w:t>
            </w:r>
          </w:p>
        </w:tc>
        <w:tc>
          <w:tcPr>
            <w:tcW w:w="5850" w:type="dxa"/>
            <w:tcBorders>
              <w:bottom w:val="single" w:sz="4" w:space="0" w:color="auto"/>
            </w:tcBorders>
          </w:tcPr>
          <w:p w14:paraId="149524D1" w14:textId="77777777" w:rsidR="00C60783" w:rsidRDefault="00C60783" w:rsidP="00D622B7">
            <w:pPr>
              <w:ind w:left="0" w:firstLine="0"/>
              <w:rPr>
                <w:color w:val="0000FF"/>
              </w:rPr>
            </w:pPr>
            <w:r>
              <w:rPr>
                <w:color w:val="0000FF"/>
              </w:rPr>
              <w:t>Limited populations evaluated*</w:t>
            </w:r>
          </w:p>
          <w:p w14:paraId="38B212BC" w14:textId="77777777" w:rsidR="00C60783" w:rsidRPr="0064178E" w:rsidRDefault="00C60783" w:rsidP="00D622B7">
            <w:pPr>
              <w:ind w:left="0" w:firstLine="0"/>
              <w:rPr>
                <w:color w:val="0000FF"/>
              </w:rPr>
            </w:pPr>
            <w:r>
              <w:rPr>
                <w:color w:val="0000FF"/>
              </w:rPr>
              <w:t>Data derived from a single randomized trial or nonrandomized studies</w:t>
            </w:r>
          </w:p>
        </w:tc>
      </w:tr>
      <w:tr w:rsidR="00C60783" w14:paraId="33DD5091" w14:textId="77777777" w:rsidTr="00D622B7">
        <w:tc>
          <w:tcPr>
            <w:tcW w:w="9576" w:type="dxa"/>
            <w:gridSpan w:val="3"/>
            <w:tcBorders>
              <w:top w:val="single" w:sz="4" w:space="0" w:color="auto"/>
              <w:left w:val="nil"/>
              <w:bottom w:val="nil"/>
              <w:right w:val="nil"/>
            </w:tcBorders>
          </w:tcPr>
          <w:p w14:paraId="76C9B979" w14:textId="77777777" w:rsidR="00C60783" w:rsidRPr="003818E0" w:rsidRDefault="00C60783" w:rsidP="00D622B7">
            <w:pPr>
              <w:ind w:left="0" w:firstLine="0"/>
              <w:rPr>
                <w:color w:val="0000FF"/>
                <w:sz w:val="20"/>
                <w:szCs w:val="20"/>
              </w:rPr>
            </w:pPr>
            <w:r w:rsidRPr="003818E0">
              <w:rPr>
                <w:color w:val="0000FF"/>
                <w:sz w:val="20"/>
                <w:szCs w:val="20"/>
              </w:rPr>
              <w:t>*</w:t>
            </w:r>
            <w:r w:rsidRPr="003818E0">
              <w:rPr>
                <w:sz w:val="20"/>
                <w:szCs w:val="20"/>
              </w:rPr>
              <w:t xml:space="preserve"> </w:t>
            </w:r>
            <w:r w:rsidRPr="003818E0">
              <w:rPr>
                <w:color w:val="0000FF"/>
                <w:sz w:val="20"/>
                <w:szCs w:val="20"/>
              </w:rPr>
              <w:t>Data available from clinical trials or registries about the usefulness/efficacy in different subpopulations, such as sex, age, history of diabetes, history of prior myocardial infarction, history of heart failure, and prior aspirin use.</w:t>
            </w:r>
          </w:p>
        </w:tc>
      </w:tr>
    </w:tbl>
    <w:p w14:paraId="4C689D06" w14:textId="77777777" w:rsidR="00C60783" w:rsidRPr="003B1CC5" w:rsidRDefault="00C60783" w:rsidP="00C60783">
      <w:pPr>
        <w:ind w:left="0" w:firstLine="0"/>
      </w:pPr>
    </w:p>
    <w:p w14:paraId="645CBA8E" w14:textId="77777777" w:rsidR="00C60783" w:rsidRDefault="00C60783" w:rsidP="00C60783">
      <w:pPr>
        <w:ind w:left="0" w:firstLine="0"/>
        <w:rPr>
          <w:color w:val="0000FF"/>
        </w:rPr>
      </w:pPr>
      <w:r w:rsidRPr="009A58D2">
        <w:rPr>
          <w:color w:val="0000FF"/>
        </w:rPr>
        <w:t xml:space="preserve">Guidelines for the </w:t>
      </w:r>
      <w:r>
        <w:rPr>
          <w:color w:val="0000FF"/>
        </w:rPr>
        <w:t>P</w:t>
      </w:r>
      <w:r w:rsidRPr="009A58D2">
        <w:rPr>
          <w:color w:val="0000FF"/>
        </w:rPr>
        <w:t xml:space="preserve">revention of </w:t>
      </w:r>
      <w:r>
        <w:rPr>
          <w:color w:val="0000FF"/>
        </w:rPr>
        <w:t>S</w:t>
      </w:r>
      <w:r w:rsidRPr="009A58D2">
        <w:rPr>
          <w:color w:val="0000FF"/>
        </w:rPr>
        <w:t xml:space="preserve">troke in </w:t>
      </w:r>
      <w:r>
        <w:rPr>
          <w:color w:val="0000FF"/>
        </w:rPr>
        <w:t>P</w:t>
      </w:r>
      <w:r w:rsidRPr="009A58D2">
        <w:rPr>
          <w:color w:val="0000FF"/>
        </w:rPr>
        <w:t xml:space="preserve">atients with </w:t>
      </w:r>
      <w:r>
        <w:rPr>
          <w:color w:val="0000FF"/>
        </w:rPr>
        <w:t>S</w:t>
      </w:r>
      <w:r w:rsidRPr="009A58D2">
        <w:rPr>
          <w:color w:val="0000FF"/>
        </w:rPr>
        <w:t xml:space="preserve">troke and </w:t>
      </w:r>
      <w:r>
        <w:rPr>
          <w:color w:val="0000FF"/>
        </w:rPr>
        <w:t>T</w:t>
      </w:r>
      <w:r w:rsidRPr="009A58D2">
        <w:rPr>
          <w:color w:val="0000FF"/>
        </w:rPr>
        <w:t xml:space="preserve">ransient </w:t>
      </w:r>
      <w:r>
        <w:rPr>
          <w:color w:val="0000FF"/>
        </w:rPr>
        <w:t>I</w:t>
      </w:r>
      <w:r w:rsidRPr="009A58D2">
        <w:rPr>
          <w:color w:val="0000FF"/>
        </w:rPr>
        <w:t xml:space="preserve">schemic </w:t>
      </w:r>
      <w:r>
        <w:rPr>
          <w:color w:val="0000FF"/>
        </w:rPr>
        <w:t>A</w:t>
      </w:r>
      <w:r w:rsidRPr="009A58D2">
        <w:rPr>
          <w:color w:val="0000FF"/>
        </w:rPr>
        <w:t>ttack</w:t>
      </w:r>
      <w:r>
        <w:rPr>
          <w:color w:val="0000FF"/>
        </w:rPr>
        <w:t>: 2014</w:t>
      </w:r>
    </w:p>
    <w:tbl>
      <w:tblPr>
        <w:tblStyle w:val="TableGrid"/>
        <w:tblW w:w="0" w:type="auto"/>
        <w:tblLook w:val="04A0" w:firstRow="1" w:lastRow="0" w:firstColumn="1" w:lastColumn="0" w:noHBand="0" w:noVBand="1"/>
      </w:tblPr>
      <w:tblGrid>
        <w:gridCol w:w="1841"/>
        <w:gridCol w:w="1838"/>
        <w:gridCol w:w="5671"/>
      </w:tblGrid>
      <w:tr w:rsidR="00C60783" w:rsidRPr="0062698B" w14:paraId="00D31091" w14:textId="77777777" w:rsidTr="00D622B7">
        <w:tc>
          <w:tcPr>
            <w:tcW w:w="1841" w:type="dxa"/>
          </w:tcPr>
          <w:p w14:paraId="546DCF72" w14:textId="77777777" w:rsidR="00C60783" w:rsidRPr="0062698B" w:rsidRDefault="00C60783" w:rsidP="00D622B7">
            <w:pPr>
              <w:ind w:left="0" w:firstLine="0"/>
              <w:jc w:val="center"/>
              <w:rPr>
                <w:b/>
                <w:color w:val="0000FF"/>
              </w:rPr>
            </w:pPr>
            <w:r w:rsidRPr="0062698B">
              <w:rPr>
                <w:b/>
                <w:color w:val="0000FF"/>
              </w:rPr>
              <w:t>Recommendation</w:t>
            </w:r>
          </w:p>
        </w:tc>
        <w:tc>
          <w:tcPr>
            <w:tcW w:w="1885" w:type="dxa"/>
          </w:tcPr>
          <w:p w14:paraId="13BC3DE8" w14:textId="77777777" w:rsidR="00C60783" w:rsidRPr="0062698B" w:rsidRDefault="00C60783" w:rsidP="00D622B7">
            <w:pPr>
              <w:ind w:left="0" w:firstLine="0"/>
              <w:jc w:val="center"/>
              <w:rPr>
                <w:b/>
                <w:color w:val="0000FF"/>
              </w:rPr>
            </w:pPr>
            <w:r w:rsidRPr="0062698B">
              <w:rPr>
                <w:b/>
                <w:color w:val="0000FF"/>
              </w:rPr>
              <w:t>Grade</w:t>
            </w:r>
          </w:p>
        </w:tc>
        <w:tc>
          <w:tcPr>
            <w:tcW w:w="5850" w:type="dxa"/>
          </w:tcPr>
          <w:p w14:paraId="379F9991" w14:textId="77777777" w:rsidR="00C60783" w:rsidRPr="0062698B" w:rsidRDefault="00C60783" w:rsidP="00D622B7">
            <w:pPr>
              <w:ind w:left="0" w:firstLine="0"/>
              <w:jc w:val="center"/>
              <w:rPr>
                <w:b/>
                <w:color w:val="0000FF"/>
              </w:rPr>
            </w:pPr>
            <w:r w:rsidRPr="0062698B">
              <w:rPr>
                <w:b/>
                <w:color w:val="0000FF"/>
              </w:rPr>
              <w:t>Definition</w:t>
            </w:r>
          </w:p>
        </w:tc>
      </w:tr>
      <w:tr w:rsidR="00C60783" w14:paraId="2A1E95B6" w14:textId="77777777" w:rsidTr="00D622B7">
        <w:tc>
          <w:tcPr>
            <w:tcW w:w="1841" w:type="dxa"/>
          </w:tcPr>
          <w:p w14:paraId="3C2F49B1" w14:textId="77777777" w:rsidR="00C60783" w:rsidRPr="0064178E" w:rsidRDefault="00C60783" w:rsidP="00D622B7">
            <w:pPr>
              <w:ind w:left="0" w:firstLine="0"/>
              <w:jc w:val="center"/>
              <w:rPr>
                <w:color w:val="0000FF"/>
              </w:rPr>
            </w:pPr>
            <w:r w:rsidRPr="0064178E">
              <w:rPr>
                <w:color w:val="0000FF"/>
              </w:rPr>
              <w:t>1</w:t>
            </w:r>
            <w:r>
              <w:rPr>
                <w:color w:val="0000FF"/>
              </w:rPr>
              <w:t>, 4</w:t>
            </w:r>
          </w:p>
        </w:tc>
        <w:tc>
          <w:tcPr>
            <w:tcW w:w="1885" w:type="dxa"/>
          </w:tcPr>
          <w:p w14:paraId="7D2ADBEC" w14:textId="5AEE80E4" w:rsidR="00C60783" w:rsidRPr="0064178E" w:rsidRDefault="00C60783" w:rsidP="00D622B7">
            <w:pPr>
              <w:ind w:left="0" w:firstLine="0"/>
              <w:jc w:val="center"/>
              <w:rPr>
                <w:color w:val="0000FF"/>
              </w:rPr>
            </w:pPr>
            <w:r>
              <w:rPr>
                <w:color w:val="0000FF"/>
              </w:rPr>
              <w:t>Level A</w:t>
            </w:r>
          </w:p>
        </w:tc>
        <w:tc>
          <w:tcPr>
            <w:tcW w:w="5850" w:type="dxa"/>
          </w:tcPr>
          <w:p w14:paraId="7043E31E" w14:textId="77777777" w:rsidR="00C60783" w:rsidRDefault="00C60783" w:rsidP="00D622B7">
            <w:pPr>
              <w:ind w:left="0" w:firstLine="0"/>
              <w:rPr>
                <w:color w:val="0000FF"/>
              </w:rPr>
            </w:pPr>
            <w:r>
              <w:rPr>
                <w:color w:val="0000FF"/>
              </w:rPr>
              <w:t>Multiple populations evaluated*</w:t>
            </w:r>
          </w:p>
          <w:p w14:paraId="776CF5CC" w14:textId="77777777" w:rsidR="00C60783" w:rsidRPr="0064178E" w:rsidRDefault="00C60783" w:rsidP="00D622B7">
            <w:pPr>
              <w:ind w:left="0" w:firstLine="0"/>
              <w:rPr>
                <w:color w:val="0000FF"/>
              </w:rPr>
            </w:pPr>
            <w:r>
              <w:rPr>
                <w:color w:val="0000FF"/>
              </w:rPr>
              <w:t>Data derived from multiple randomized clinical trials or meta-analyses</w:t>
            </w:r>
          </w:p>
        </w:tc>
      </w:tr>
      <w:tr w:rsidR="00C60783" w14:paraId="302F1E3A" w14:textId="77777777" w:rsidTr="00D622B7">
        <w:tc>
          <w:tcPr>
            <w:tcW w:w="1841" w:type="dxa"/>
          </w:tcPr>
          <w:p w14:paraId="726231AB" w14:textId="77777777" w:rsidR="00C60783" w:rsidRPr="0064178E" w:rsidRDefault="00C60783" w:rsidP="00D622B7">
            <w:pPr>
              <w:ind w:left="0" w:firstLine="0"/>
              <w:jc w:val="center"/>
              <w:rPr>
                <w:color w:val="0000FF"/>
              </w:rPr>
            </w:pPr>
            <w:r>
              <w:rPr>
                <w:color w:val="0000FF"/>
              </w:rPr>
              <w:t>2, 3</w:t>
            </w:r>
          </w:p>
        </w:tc>
        <w:tc>
          <w:tcPr>
            <w:tcW w:w="1885" w:type="dxa"/>
          </w:tcPr>
          <w:p w14:paraId="3C18630F" w14:textId="35FA35CB" w:rsidR="00C60783" w:rsidRPr="0064178E" w:rsidRDefault="00C60783" w:rsidP="00D622B7">
            <w:pPr>
              <w:ind w:left="0" w:firstLine="0"/>
              <w:jc w:val="center"/>
              <w:rPr>
                <w:color w:val="0000FF"/>
              </w:rPr>
            </w:pPr>
            <w:r>
              <w:rPr>
                <w:color w:val="0000FF"/>
              </w:rPr>
              <w:t>Level B</w:t>
            </w:r>
          </w:p>
        </w:tc>
        <w:tc>
          <w:tcPr>
            <w:tcW w:w="5850" w:type="dxa"/>
          </w:tcPr>
          <w:p w14:paraId="0E9D0CB2" w14:textId="77777777" w:rsidR="00C60783" w:rsidRDefault="00C60783" w:rsidP="00D622B7">
            <w:pPr>
              <w:ind w:left="0" w:firstLine="0"/>
              <w:rPr>
                <w:color w:val="0000FF"/>
              </w:rPr>
            </w:pPr>
            <w:r>
              <w:rPr>
                <w:color w:val="0000FF"/>
              </w:rPr>
              <w:t>Limited populations evaluated*</w:t>
            </w:r>
          </w:p>
          <w:p w14:paraId="39FCBEC3" w14:textId="77777777" w:rsidR="00C60783" w:rsidRPr="0064178E" w:rsidRDefault="00C60783" w:rsidP="00D622B7">
            <w:pPr>
              <w:ind w:left="0" w:firstLine="0"/>
              <w:rPr>
                <w:color w:val="0000FF"/>
              </w:rPr>
            </w:pPr>
            <w:r>
              <w:rPr>
                <w:color w:val="0000FF"/>
              </w:rPr>
              <w:t>Data derived from a single randomized trial or nonrandomized studies</w:t>
            </w:r>
          </w:p>
        </w:tc>
      </w:tr>
      <w:tr w:rsidR="00C60783" w14:paraId="2033FF67" w14:textId="77777777" w:rsidTr="00D622B7">
        <w:tc>
          <w:tcPr>
            <w:tcW w:w="9576" w:type="dxa"/>
            <w:gridSpan w:val="3"/>
            <w:tcBorders>
              <w:top w:val="single" w:sz="4" w:space="0" w:color="auto"/>
              <w:left w:val="nil"/>
              <w:bottom w:val="nil"/>
              <w:right w:val="nil"/>
            </w:tcBorders>
          </w:tcPr>
          <w:p w14:paraId="1AA75351" w14:textId="77777777" w:rsidR="00C60783" w:rsidRPr="003818E0" w:rsidRDefault="00C60783" w:rsidP="00D622B7">
            <w:pPr>
              <w:ind w:left="0" w:firstLine="0"/>
              <w:rPr>
                <w:color w:val="0000FF"/>
                <w:sz w:val="20"/>
                <w:szCs w:val="20"/>
              </w:rPr>
            </w:pPr>
            <w:r w:rsidRPr="003818E0">
              <w:rPr>
                <w:color w:val="0000FF"/>
                <w:sz w:val="20"/>
                <w:szCs w:val="20"/>
              </w:rPr>
              <w:t>*</w:t>
            </w:r>
            <w:r w:rsidRPr="003818E0">
              <w:rPr>
                <w:sz w:val="20"/>
                <w:szCs w:val="20"/>
              </w:rPr>
              <w:t xml:space="preserve"> </w:t>
            </w:r>
            <w:r w:rsidRPr="003818E0">
              <w:rPr>
                <w:color w:val="0000FF"/>
                <w:sz w:val="20"/>
                <w:szCs w:val="20"/>
              </w:rPr>
              <w:t>Data available from clinical trials or registries about the usefulness/efficacy in different subpopulations, such as sex, age, history of diabetes, history of prior myocardial infarction, history of heart failure, and prior aspirin use.</w:t>
            </w:r>
          </w:p>
        </w:tc>
      </w:tr>
    </w:tbl>
    <w:p w14:paraId="44DA7AC6" w14:textId="77777777" w:rsidR="00C60783" w:rsidRPr="003B1CC5" w:rsidRDefault="00C60783"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Default="00A12762" w:rsidP="002E2177">
      <w:pPr>
        <w:ind w:left="0" w:firstLine="0"/>
        <w:rPr>
          <w:noProof/>
        </w:rPr>
      </w:pPr>
    </w:p>
    <w:tbl>
      <w:tblPr>
        <w:tblStyle w:val="TableGrid"/>
        <w:tblW w:w="0" w:type="auto"/>
        <w:tblLook w:val="04A0" w:firstRow="1" w:lastRow="0" w:firstColumn="1" w:lastColumn="0" w:noHBand="0" w:noVBand="1"/>
      </w:tblPr>
      <w:tblGrid>
        <w:gridCol w:w="1874"/>
        <w:gridCol w:w="7476"/>
      </w:tblGrid>
      <w:tr w:rsidR="00C60783" w:rsidRPr="00C60783" w14:paraId="3432E651" w14:textId="77777777" w:rsidTr="001D76F5">
        <w:tc>
          <w:tcPr>
            <w:tcW w:w="1908" w:type="dxa"/>
            <w:tcBorders>
              <w:bottom w:val="single" w:sz="4" w:space="0" w:color="auto"/>
            </w:tcBorders>
          </w:tcPr>
          <w:p w14:paraId="15B068E0" w14:textId="61514049" w:rsidR="00C60783" w:rsidRPr="00C60783" w:rsidRDefault="00C60783" w:rsidP="00C60783">
            <w:pPr>
              <w:ind w:left="0" w:firstLine="0"/>
              <w:jc w:val="center"/>
              <w:rPr>
                <w:b/>
                <w:noProof/>
                <w:color w:val="0000FF"/>
              </w:rPr>
            </w:pPr>
            <w:r w:rsidRPr="00C60783">
              <w:rPr>
                <w:b/>
                <w:noProof/>
                <w:color w:val="0000FF"/>
              </w:rPr>
              <w:t>Grade</w:t>
            </w:r>
          </w:p>
        </w:tc>
        <w:tc>
          <w:tcPr>
            <w:tcW w:w="7668" w:type="dxa"/>
            <w:tcBorders>
              <w:bottom w:val="single" w:sz="4" w:space="0" w:color="auto"/>
            </w:tcBorders>
          </w:tcPr>
          <w:p w14:paraId="2BB4050F" w14:textId="051C2290" w:rsidR="00C60783" w:rsidRPr="00C60783" w:rsidRDefault="00C60783" w:rsidP="00C60783">
            <w:pPr>
              <w:ind w:left="0" w:firstLine="0"/>
              <w:jc w:val="center"/>
              <w:rPr>
                <w:b/>
                <w:noProof/>
                <w:color w:val="0000FF"/>
              </w:rPr>
            </w:pPr>
            <w:r w:rsidRPr="00C60783">
              <w:rPr>
                <w:b/>
                <w:noProof/>
                <w:color w:val="0000FF"/>
              </w:rPr>
              <w:t>Definition</w:t>
            </w:r>
          </w:p>
        </w:tc>
      </w:tr>
      <w:tr w:rsidR="00C60783" w14:paraId="0667044D" w14:textId="77777777" w:rsidTr="001D76F5">
        <w:tc>
          <w:tcPr>
            <w:tcW w:w="1908" w:type="dxa"/>
            <w:tcBorders>
              <w:bottom w:val="single" w:sz="4" w:space="0" w:color="auto"/>
            </w:tcBorders>
          </w:tcPr>
          <w:p w14:paraId="1FBA9169" w14:textId="2366B353" w:rsidR="00C60783" w:rsidRPr="00C60783" w:rsidRDefault="00C60783" w:rsidP="00C60783">
            <w:pPr>
              <w:ind w:left="0" w:firstLine="0"/>
              <w:jc w:val="center"/>
              <w:rPr>
                <w:noProof/>
                <w:color w:val="0000FF"/>
              </w:rPr>
            </w:pPr>
            <w:r>
              <w:rPr>
                <w:noProof/>
                <w:color w:val="0000FF"/>
              </w:rPr>
              <w:t>Level C</w:t>
            </w:r>
          </w:p>
        </w:tc>
        <w:tc>
          <w:tcPr>
            <w:tcW w:w="7668" w:type="dxa"/>
            <w:tcBorders>
              <w:bottom w:val="single" w:sz="4" w:space="0" w:color="auto"/>
            </w:tcBorders>
          </w:tcPr>
          <w:p w14:paraId="70F53D1E" w14:textId="77777777" w:rsidR="00C60783" w:rsidRDefault="00C60783" w:rsidP="002E2177">
            <w:pPr>
              <w:ind w:left="0" w:firstLine="0"/>
              <w:rPr>
                <w:noProof/>
                <w:color w:val="0000FF"/>
              </w:rPr>
            </w:pPr>
            <w:r>
              <w:rPr>
                <w:noProof/>
                <w:color w:val="0000FF"/>
              </w:rPr>
              <w:t>Very limited populations evaluated*</w:t>
            </w:r>
          </w:p>
          <w:p w14:paraId="536936C5" w14:textId="489CD90F" w:rsidR="00C60783" w:rsidRPr="00C60783" w:rsidRDefault="00C60783" w:rsidP="002E2177">
            <w:pPr>
              <w:ind w:left="0" w:firstLine="0"/>
              <w:rPr>
                <w:noProof/>
                <w:color w:val="0000FF"/>
              </w:rPr>
            </w:pPr>
            <w:r>
              <w:rPr>
                <w:noProof/>
                <w:color w:val="0000FF"/>
              </w:rPr>
              <w:t>Only consensus opinion of experts, case studies, or standar of care</w:t>
            </w:r>
          </w:p>
        </w:tc>
      </w:tr>
      <w:tr w:rsidR="00C60783" w14:paraId="5A70B6CC" w14:textId="77777777" w:rsidTr="001D76F5">
        <w:tc>
          <w:tcPr>
            <w:tcW w:w="9576" w:type="dxa"/>
            <w:gridSpan w:val="2"/>
            <w:tcBorders>
              <w:top w:val="single" w:sz="4" w:space="0" w:color="auto"/>
              <w:left w:val="nil"/>
              <w:bottom w:val="nil"/>
              <w:right w:val="nil"/>
            </w:tcBorders>
          </w:tcPr>
          <w:p w14:paraId="34D13F28" w14:textId="501D35E6" w:rsidR="00C60783" w:rsidRPr="00AE20B2" w:rsidRDefault="00AE20B2" w:rsidP="00C60783">
            <w:pPr>
              <w:ind w:left="0" w:firstLine="0"/>
              <w:rPr>
                <w:noProof/>
                <w:color w:val="0000FF"/>
                <w:sz w:val="20"/>
                <w:szCs w:val="20"/>
              </w:rPr>
            </w:pPr>
            <w:r>
              <w:rPr>
                <w:noProof/>
                <w:color w:val="0000FF"/>
                <w:sz w:val="20"/>
                <w:szCs w:val="20"/>
              </w:rPr>
              <w:t>*</w:t>
            </w:r>
            <w:r w:rsidR="00C60783" w:rsidRPr="00AE20B2">
              <w:rPr>
                <w:noProof/>
                <w:color w:val="0000FF"/>
                <w:sz w:val="20"/>
                <w:szCs w:val="20"/>
              </w:rPr>
              <w:t>Data available from clinical trials or registries about the usefulness/efficacy in different subpopulations, such as sex, age, history of diabetes, history of prior myocardial infarction, history of heart failure, and prior aspirin use.</w:t>
            </w:r>
          </w:p>
        </w:tc>
      </w:tr>
    </w:tbl>
    <w:p w14:paraId="05D9D602" w14:textId="0B36991E" w:rsidR="00C60783" w:rsidRDefault="00C60783" w:rsidP="002E2177">
      <w:pPr>
        <w:ind w:left="0" w:firstLine="0"/>
        <w:rPr>
          <w:noProof/>
        </w:rPr>
      </w:pPr>
    </w:p>
    <w:p w14:paraId="10F3B810" w14:textId="77777777" w:rsidR="00C60783" w:rsidRPr="003B1CC5" w:rsidRDefault="00C60783"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Default="00496AF8" w:rsidP="002E2177">
      <w:pPr>
        <w:ind w:left="0" w:firstLine="0"/>
        <w:rPr>
          <w:noProof/>
        </w:rPr>
      </w:pPr>
    </w:p>
    <w:p w14:paraId="40E75CB6" w14:textId="18C85462" w:rsidR="00B70E30" w:rsidRPr="00D56F02" w:rsidRDefault="00B70E30" w:rsidP="002E2177">
      <w:pPr>
        <w:ind w:left="0" w:firstLine="0"/>
        <w:rPr>
          <w:noProof/>
          <w:color w:val="0000FF"/>
        </w:rPr>
      </w:pPr>
      <w:r w:rsidRPr="00D56F02">
        <w:rPr>
          <w:noProof/>
          <w:color w:val="0000FF"/>
        </w:rPr>
        <w:t xml:space="preserve">The </w:t>
      </w:r>
      <w:r w:rsidR="00375838" w:rsidRPr="00D56F02">
        <w:rPr>
          <w:noProof/>
          <w:color w:val="0000FF"/>
        </w:rPr>
        <w:t xml:space="preserve">antiplatelet recommendations from the </w:t>
      </w:r>
      <w:r w:rsidRPr="00D56F02">
        <w:rPr>
          <w:noProof/>
          <w:color w:val="0000FF"/>
        </w:rPr>
        <w:t>2011 ACC/AHA Secondary Prevention Guideline</w:t>
      </w:r>
      <w:r w:rsidR="00375838" w:rsidRPr="00D56F02">
        <w:rPr>
          <w:noProof/>
          <w:color w:val="0000FF"/>
        </w:rPr>
        <w:t>s and the 2014 AHA/ASA Stroke Prevention Guidelines</w:t>
      </w:r>
      <w:r w:rsidRPr="00D56F02">
        <w:rPr>
          <w:noProof/>
          <w:color w:val="0000FF"/>
        </w:rPr>
        <w:t xml:space="preserve"> cite studies, systematic reviews, and other guidelines as recent as 201</w:t>
      </w:r>
      <w:r w:rsidR="00375838" w:rsidRPr="00D56F02">
        <w:rPr>
          <w:noProof/>
          <w:color w:val="0000FF"/>
        </w:rPr>
        <w:t>3</w:t>
      </w:r>
      <w:r w:rsidRPr="00D56F02">
        <w:rPr>
          <w:noProof/>
          <w:color w:val="0000FF"/>
        </w:rPr>
        <w:t xml:space="preserve"> and dating back to 19</w:t>
      </w:r>
      <w:r w:rsidR="00375838" w:rsidRPr="00D56F02">
        <w:rPr>
          <w:noProof/>
          <w:color w:val="0000FF"/>
        </w:rPr>
        <w:t>78</w:t>
      </w:r>
      <w:r w:rsidRPr="00D56F02">
        <w:rPr>
          <w:noProof/>
          <w:color w:val="0000FF"/>
        </w:rPr>
        <w:t xml:space="preserve">. </w:t>
      </w:r>
      <w:r w:rsidR="00375838" w:rsidRPr="00D56F02">
        <w:rPr>
          <w:noProof/>
          <w:color w:val="0000FF"/>
        </w:rPr>
        <w:t xml:space="preserve">It should be noted that the search parameters described by some of the systematic reviews did not include clear </w:t>
      </w:r>
      <w:r w:rsidR="0016495B" w:rsidRPr="00D56F02">
        <w:rPr>
          <w:noProof/>
          <w:color w:val="0000FF"/>
        </w:rPr>
        <w:t xml:space="preserve">date </w:t>
      </w:r>
      <w:r w:rsidR="00375838" w:rsidRPr="00D56F02">
        <w:rPr>
          <w:noProof/>
          <w:color w:val="0000FF"/>
        </w:rPr>
        <w:t xml:space="preserve">ranges (e.g., “all studies published by 1997”) so the body </w:t>
      </w:r>
      <w:r w:rsidR="00D720CD">
        <w:rPr>
          <w:noProof/>
          <w:color w:val="0000FF"/>
        </w:rPr>
        <w:t xml:space="preserve">of </w:t>
      </w:r>
      <w:r w:rsidR="00375838" w:rsidRPr="00D56F02">
        <w:rPr>
          <w:noProof/>
          <w:color w:val="0000FF"/>
        </w:rPr>
        <w:t xml:space="preserve">evidence potentially </w:t>
      </w:r>
      <w:r w:rsidR="0006685E" w:rsidRPr="00D56F02">
        <w:rPr>
          <w:noProof/>
          <w:color w:val="0000FF"/>
        </w:rPr>
        <w:t>goes back further</w:t>
      </w:r>
      <w:r w:rsidR="00375838" w:rsidRPr="00D56F02">
        <w:rPr>
          <w:noProof/>
          <w:color w:val="0000FF"/>
        </w:rPr>
        <w:t>.</w:t>
      </w: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208795A" w14:textId="77777777" w:rsidR="00496AF8" w:rsidRDefault="00496AF8" w:rsidP="002E2177">
      <w:pPr>
        <w:ind w:left="0" w:firstLine="0"/>
      </w:pPr>
    </w:p>
    <w:p w14:paraId="52A3B79E" w14:textId="4579745E" w:rsidR="002650EF" w:rsidRDefault="00A11044" w:rsidP="002E2177">
      <w:pPr>
        <w:ind w:left="0" w:firstLine="0"/>
        <w:rPr>
          <w:color w:val="0000FF"/>
        </w:rPr>
      </w:pPr>
      <w:r>
        <w:rPr>
          <w:color w:val="0000FF"/>
        </w:rPr>
        <w:t>T</w:t>
      </w:r>
      <w:r w:rsidR="002650EF">
        <w:rPr>
          <w:color w:val="0000FF"/>
        </w:rPr>
        <w:t xml:space="preserve">he body of evidence supporting antiplatelet therapy as secondary preventive treatment in patients with established cardiovascular disease is comprised of </w:t>
      </w:r>
      <w:r>
        <w:rPr>
          <w:color w:val="0000FF"/>
        </w:rPr>
        <w:t xml:space="preserve">many </w:t>
      </w:r>
      <w:r w:rsidR="002650EF">
        <w:rPr>
          <w:color w:val="0000FF"/>
        </w:rPr>
        <w:t xml:space="preserve">(&gt;100) studies, meta-analyses, and practice guidelines. </w:t>
      </w:r>
    </w:p>
    <w:p w14:paraId="2E69600E" w14:textId="77777777" w:rsidR="002650EF" w:rsidRDefault="002650EF" w:rsidP="002E2177">
      <w:pPr>
        <w:ind w:left="0" w:firstLine="0"/>
        <w:rPr>
          <w:color w:val="0000FF"/>
        </w:rPr>
      </w:pPr>
    </w:p>
    <w:p w14:paraId="168DEFF3" w14:textId="25491F21" w:rsidR="002650EF" w:rsidRPr="002650EF" w:rsidRDefault="00A11044" w:rsidP="002650EF">
      <w:pPr>
        <w:ind w:left="0" w:firstLine="0"/>
      </w:pPr>
      <w:r w:rsidRPr="00A11044">
        <w:rPr>
          <w:color w:val="0000FF"/>
        </w:rPr>
        <w:t>The A</w:t>
      </w:r>
      <w:r>
        <w:rPr>
          <w:color w:val="0000FF"/>
        </w:rPr>
        <w:t xml:space="preserve">ntithrombotic </w:t>
      </w:r>
      <w:proofErr w:type="spellStart"/>
      <w:r>
        <w:rPr>
          <w:color w:val="0000FF"/>
        </w:rPr>
        <w:t>Trialists</w:t>
      </w:r>
      <w:proofErr w:type="spellEnd"/>
      <w:r>
        <w:rPr>
          <w:color w:val="0000FF"/>
        </w:rPr>
        <w:t xml:space="preserve">’ </w:t>
      </w:r>
      <w:r w:rsidRPr="00A11044">
        <w:rPr>
          <w:color w:val="0000FF"/>
        </w:rPr>
        <w:t xml:space="preserve">Collaboration </w:t>
      </w:r>
      <w:r>
        <w:rPr>
          <w:color w:val="0000FF"/>
        </w:rPr>
        <w:t xml:space="preserve">(ATT Collaboration) </w:t>
      </w:r>
      <w:r w:rsidRPr="00A11044">
        <w:rPr>
          <w:color w:val="0000FF"/>
        </w:rPr>
        <w:t>ultimately included 287 studies involving 135,000 patients in comparisons of antiplatelet therapy versus control and 77,000 in comparisons of different antiplatelet regimens to make their conclusions.</w:t>
      </w:r>
      <w:r>
        <w:rPr>
          <w:color w:val="0000FF"/>
        </w:rPr>
        <w:t xml:space="preserve"> </w:t>
      </w:r>
      <w:r w:rsidR="002650EF">
        <w:rPr>
          <w:color w:val="0000FF"/>
        </w:rPr>
        <w:t xml:space="preserve">The </w:t>
      </w:r>
      <w:r>
        <w:rPr>
          <w:color w:val="0000FF"/>
        </w:rPr>
        <w:t>ATT</w:t>
      </w:r>
      <w:r w:rsidR="002650EF" w:rsidRPr="002650EF">
        <w:rPr>
          <w:color w:val="0000FF"/>
        </w:rPr>
        <w:t xml:space="preserve"> Collaboration Meta-Analysis</w:t>
      </w:r>
      <w:r w:rsidR="002650EF">
        <w:rPr>
          <w:color w:val="0000FF"/>
        </w:rPr>
        <w:t xml:space="preserve"> </w:t>
      </w:r>
      <w:r>
        <w:rPr>
          <w:color w:val="0000FF"/>
        </w:rPr>
        <w:t xml:space="preserve">reviewed </w:t>
      </w:r>
      <w:r w:rsidR="002650EF">
        <w:rPr>
          <w:color w:val="0000FF"/>
        </w:rPr>
        <w:t>r</w:t>
      </w:r>
      <w:r w:rsidR="002650EF" w:rsidRPr="002650EF">
        <w:rPr>
          <w:color w:val="0000FF"/>
        </w:rPr>
        <w:t>andomi</w:t>
      </w:r>
      <w:r w:rsidR="002650EF">
        <w:rPr>
          <w:color w:val="0000FF"/>
        </w:rPr>
        <w:t>z</w:t>
      </w:r>
      <w:r w:rsidR="002650EF" w:rsidRPr="002650EF">
        <w:rPr>
          <w:color w:val="0000FF"/>
        </w:rPr>
        <w:t>ed trials of an</w:t>
      </w:r>
      <w:r w:rsidR="002650EF">
        <w:rPr>
          <w:color w:val="0000FF"/>
        </w:rPr>
        <w:t xml:space="preserve"> </w:t>
      </w:r>
      <w:r w:rsidR="002650EF" w:rsidRPr="002650EF">
        <w:rPr>
          <w:color w:val="0000FF"/>
        </w:rPr>
        <w:t>antiplatelet regimen versus control or of one</w:t>
      </w:r>
      <w:r w:rsidR="002650EF">
        <w:rPr>
          <w:color w:val="0000FF"/>
        </w:rPr>
        <w:t xml:space="preserve"> </w:t>
      </w:r>
      <w:r w:rsidR="002650EF" w:rsidRPr="002650EF">
        <w:rPr>
          <w:color w:val="0000FF"/>
        </w:rPr>
        <w:t>antiplatelet regimen versus another in high risk</w:t>
      </w:r>
      <w:r w:rsidR="002650EF">
        <w:rPr>
          <w:color w:val="0000FF"/>
        </w:rPr>
        <w:t xml:space="preserve"> </w:t>
      </w:r>
      <w:r w:rsidR="002650EF" w:rsidRPr="002650EF">
        <w:rPr>
          <w:color w:val="0000FF"/>
        </w:rPr>
        <w:t>patients (with acute or previous vascular disease or</w:t>
      </w:r>
      <w:r w:rsidR="002650EF">
        <w:rPr>
          <w:color w:val="0000FF"/>
        </w:rPr>
        <w:t xml:space="preserve"> </w:t>
      </w:r>
      <w:r w:rsidR="002650EF" w:rsidRPr="002650EF">
        <w:rPr>
          <w:color w:val="0000FF"/>
        </w:rPr>
        <w:t>some other predisposing condition) from which</w:t>
      </w:r>
      <w:r w:rsidR="002650EF">
        <w:rPr>
          <w:color w:val="0000FF"/>
        </w:rPr>
        <w:t xml:space="preserve"> </w:t>
      </w:r>
      <w:r w:rsidR="002650EF" w:rsidRPr="002650EF">
        <w:rPr>
          <w:color w:val="0000FF"/>
        </w:rPr>
        <w:t>results were available before September 1997. Trials</w:t>
      </w:r>
      <w:r w:rsidR="002650EF">
        <w:rPr>
          <w:color w:val="0000FF"/>
        </w:rPr>
        <w:t xml:space="preserve"> </w:t>
      </w:r>
      <w:r w:rsidR="002650EF" w:rsidRPr="002650EF">
        <w:rPr>
          <w:color w:val="0000FF"/>
        </w:rPr>
        <w:t>had to use a method of randomi</w:t>
      </w:r>
      <w:r w:rsidR="002650EF">
        <w:rPr>
          <w:color w:val="0000FF"/>
        </w:rPr>
        <w:t>z</w:t>
      </w:r>
      <w:r w:rsidR="002650EF" w:rsidRPr="002650EF">
        <w:rPr>
          <w:color w:val="0000FF"/>
        </w:rPr>
        <w:t>ation that precluded</w:t>
      </w:r>
      <w:r w:rsidR="002650EF">
        <w:rPr>
          <w:color w:val="0000FF"/>
        </w:rPr>
        <w:t xml:space="preserve"> </w:t>
      </w:r>
      <w:r w:rsidR="002650EF" w:rsidRPr="002650EF">
        <w:rPr>
          <w:color w:val="0000FF"/>
        </w:rPr>
        <w:t>prior knowledge of the next treatment to be allocated</w:t>
      </w:r>
      <w:r w:rsidR="002650EF">
        <w:rPr>
          <w:color w:val="0000FF"/>
        </w:rPr>
        <w:t xml:space="preserve"> </w:t>
      </w:r>
      <w:r w:rsidR="002650EF" w:rsidRPr="002650EF">
        <w:rPr>
          <w:color w:val="0000FF"/>
        </w:rPr>
        <w:t>and comparisons had to be un</w:t>
      </w:r>
      <w:r>
        <w:rPr>
          <w:color w:val="0000FF"/>
        </w:rPr>
        <w:t>-</w:t>
      </w:r>
      <w:r w:rsidR="002650EF" w:rsidRPr="002650EF">
        <w:rPr>
          <w:color w:val="0000FF"/>
        </w:rPr>
        <w:t>confounded—that is,</w:t>
      </w:r>
      <w:r w:rsidR="002650EF">
        <w:rPr>
          <w:color w:val="0000FF"/>
        </w:rPr>
        <w:t xml:space="preserve"> </w:t>
      </w:r>
      <w:r w:rsidR="002650EF" w:rsidRPr="002650EF">
        <w:rPr>
          <w:color w:val="0000FF"/>
        </w:rPr>
        <w:t>have study groups that differed only in terms of</w:t>
      </w:r>
      <w:r w:rsidR="002650EF">
        <w:rPr>
          <w:color w:val="0000FF"/>
        </w:rPr>
        <w:t xml:space="preserve"> </w:t>
      </w:r>
      <w:r w:rsidR="002650EF" w:rsidRPr="002650EF">
        <w:rPr>
          <w:color w:val="0000FF"/>
        </w:rPr>
        <w:t>antiplatelet regimen.</w:t>
      </w:r>
      <w:r w:rsidR="002650EF">
        <w:rPr>
          <w:color w:val="0000FF"/>
        </w:rPr>
        <w:t xml:space="preserve"> </w:t>
      </w:r>
    </w:p>
    <w:p w14:paraId="3955EF6E" w14:textId="77777777" w:rsidR="002650EF" w:rsidRPr="003B1CC5" w:rsidRDefault="002650EF"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77777777" w:rsidR="00496AF8" w:rsidRPr="003B1CC5" w:rsidRDefault="00496AF8" w:rsidP="002E2177">
      <w:pPr>
        <w:ind w:left="0" w:firstLine="0"/>
      </w:pPr>
    </w:p>
    <w:p w14:paraId="59B064A1" w14:textId="1F6A44B4" w:rsidR="00B14B17" w:rsidRPr="00D56F02" w:rsidRDefault="00B14B17" w:rsidP="002E2177">
      <w:pPr>
        <w:ind w:left="0" w:firstLine="0"/>
        <w:rPr>
          <w:color w:val="0000FF"/>
        </w:rPr>
      </w:pPr>
      <w:r w:rsidRPr="00D56F02">
        <w:rPr>
          <w:color w:val="0000FF"/>
        </w:rPr>
        <w:t>The ATT Collaboration found sufficient quality of evidence across the studies included in their analysis to support the use of antiplatelet therapy as secondary preventive treatment in patient with established cardiovascular disease. Antiplatelet therapy clearly reduced the incidence of non-fatal myocardial infarctions, non-fatal stroke, or vascular death.</w:t>
      </w:r>
    </w:p>
    <w:p w14:paraId="5F1165DA" w14:textId="77777777" w:rsidR="00B14B17" w:rsidRPr="003B1CC5" w:rsidRDefault="00B14B17"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Default="00496AF8" w:rsidP="002E2177">
      <w:pPr>
        <w:ind w:left="0" w:firstLine="0"/>
      </w:pPr>
    </w:p>
    <w:p w14:paraId="16A6266C" w14:textId="6114B8A9" w:rsidR="00E44B86" w:rsidRPr="00D56F02" w:rsidRDefault="003823F2" w:rsidP="003823F2">
      <w:pPr>
        <w:ind w:left="0" w:firstLine="0"/>
        <w:rPr>
          <w:color w:val="0000FF"/>
        </w:rPr>
      </w:pPr>
      <w:r w:rsidRPr="00D56F02">
        <w:rPr>
          <w:color w:val="0000FF"/>
        </w:rPr>
        <w:t xml:space="preserve">Aspirin or other oral antiplatelet drugs are protective in most types of patients at increased risk of occlusive vascular events, including those with an acute myocardial infarction or ischemic stroke, unstable or stable angina, previous myocardial infarction, stroke or cerebral ischemia, peripheral arterial disease, or atrial fibrillation. </w:t>
      </w:r>
      <w:r w:rsidR="0006685E" w:rsidRPr="00D56F02">
        <w:rPr>
          <w:color w:val="0000FF"/>
        </w:rPr>
        <w:t xml:space="preserve">Overall, among </w:t>
      </w:r>
      <w:r w:rsidRPr="00D56F02">
        <w:rPr>
          <w:color w:val="0000FF"/>
        </w:rPr>
        <w:t xml:space="preserve">these </w:t>
      </w:r>
      <w:r w:rsidR="0006685E" w:rsidRPr="00D56F02">
        <w:rPr>
          <w:color w:val="0000FF"/>
        </w:rPr>
        <w:t xml:space="preserve">high risk patients, allocation to antiplatelet therapy reduced the combined outcome of any serious vascular event by about one quarter; non­fatal myocardial infarction was reduced by one third, non­fatal stroke by one quarter, and vascular mortality by one sixth (with no apparent adverse effect on other deaths). Absolute reductions in the risk of having a serious vascular event were 36 per 1000 treated for two years among patients with previous myocardial infarction; 38 per 1000 patients treated for one month among patients with acute myocardial infarction; 36 per 1000 treated for two years among those with previous stroke or transient ischemic attack; 9 per 1000 treated for three weeks among those with acute stroke; and 22 per 1000 treated for two years among other high risk patients (with separately significant results for those with stable angina (P = 0.0005), peripheral arterial disease (P = 0.004), and atrial fibrillation (P = 0.01)). In each of these high risk categories, the absolute benefits substantially outweighed the absolute risks of major </w:t>
      </w:r>
      <w:proofErr w:type="spellStart"/>
      <w:r w:rsidR="0006685E" w:rsidRPr="00D56F02">
        <w:rPr>
          <w:color w:val="0000FF"/>
        </w:rPr>
        <w:t>extracranial</w:t>
      </w:r>
      <w:proofErr w:type="spellEnd"/>
      <w:r w:rsidR="0006685E" w:rsidRPr="00D56F02">
        <w:rPr>
          <w:color w:val="0000FF"/>
        </w:rPr>
        <w:t xml:space="preserve"> bleeding. </w:t>
      </w:r>
    </w:p>
    <w:p w14:paraId="0E405EED" w14:textId="77777777" w:rsidR="00E44B86" w:rsidRPr="00D56F02" w:rsidRDefault="00E44B86" w:rsidP="0006685E">
      <w:pPr>
        <w:ind w:left="0" w:firstLine="0"/>
        <w:rPr>
          <w:color w:val="0000FF"/>
        </w:rPr>
      </w:pPr>
    </w:p>
    <w:p w14:paraId="26CC3A17" w14:textId="7F1CC862" w:rsidR="0006685E" w:rsidRPr="00D56F02" w:rsidRDefault="0006685E" w:rsidP="0006685E">
      <w:pPr>
        <w:ind w:left="0" w:firstLine="0"/>
        <w:rPr>
          <w:color w:val="0000FF"/>
        </w:rPr>
      </w:pPr>
      <w:r w:rsidRPr="00D56F02">
        <w:rPr>
          <w:color w:val="0000FF"/>
        </w:rPr>
        <w:t xml:space="preserve">Aspirin was the most widely studied antiplatelet drug, with doses of 75­150 mg daily at least as effective as higher daily doses. The effects of doses lower than 75 mg daily were less certain. </w:t>
      </w:r>
      <w:proofErr w:type="spellStart"/>
      <w:r w:rsidRPr="00D56F02">
        <w:rPr>
          <w:color w:val="0000FF"/>
        </w:rPr>
        <w:t>Clopidogrel</w:t>
      </w:r>
      <w:proofErr w:type="spellEnd"/>
      <w:r w:rsidRPr="00D56F02">
        <w:rPr>
          <w:color w:val="0000FF"/>
        </w:rPr>
        <w:t xml:space="preserve"> reduced serious vascular events by 10% compared with aspirin, which was similar to the 12% reduction observed with its analogue </w:t>
      </w:r>
      <w:proofErr w:type="spellStart"/>
      <w:r w:rsidRPr="00D56F02">
        <w:rPr>
          <w:color w:val="0000FF"/>
        </w:rPr>
        <w:t>ticlopidine</w:t>
      </w:r>
      <w:proofErr w:type="spellEnd"/>
      <w:r w:rsidRPr="00D56F02">
        <w:rPr>
          <w:color w:val="0000FF"/>
        </w:rPr>
        <w:t xml:space="preserve">. Addition of dipyridamole to aspirin produced no significant further reduction in vascular events compared with aspirin alone. Among patients at high risk of immediate coronary occlusion, short term addition of an intravenous glycoprotein </w:t>
      </w:r>
      <w:proofErr w:type="spellStart"/>
      <w:r w:rsidRPr="00D56F02">
        <w:rPr>
          <w:color w:val="0000FF"/>
        </w:rPr>
        <w:t>IIb</w:t>
      </w:r>
      <w:proofErr w:type="spellEnd"/>
      <w:r w:rsidRPr="00D56F02">
        <w:rPr>
          <w:color w:val="0000FF"/>
        </w:rPr>
        <w:t>/</w:t>
      </w:r>
      <w:proofErr w:type="spellStart"/>
      <w:r w:rsidRPr="00D56F02">
        <w:rPr>
          <w:color w:val="0000FF"/>
        </w:rPr>
        <w:t>IIIa</w:t>
      </w:r>
      <w:proofErr w:type="spellEnd"/>
      <w:r w:rsidRPr="00D56F02">
        <w:rPr>
          <w:color w:val="0000FF"/>
        </w:rPr>
        <w:t xml:space="preserve"> antagonist to aspirin prevented a further 20 vascular events per 1000 (P &lt; 0.0001) but caused 23 major (but rarely fatal) </w:t>
      </w:r>
      <w:proofErr w:type="spellStart"/>
      <w:r w:rsidRPr="00D56F02">
        <w:rPr>
          <w:color w:val="0000FF"/>
        </w:rPr>
        <w:t>extracranial</w:t>
      </w:r>
      <w:proofErr w:type="spellEnd"/>
      <w:r w:rsidRPr="00D56F02">
        <w:rPr>
          <w:color w:val="0000FF"/>
        </w:rPr>
        <w:t xml:space="preserve"> bleeds per 1000.</w:t>
      </w:r>
    </w:p>
    <w:p w14:paraId="52087961" w14:textId="77777777" w:rsidR="009B5BEA" w:rsidRPr="00D56F02" w:rsidRDefault="009B5BEA" w:rsidP="002E2177">
      <w:pPr>
        <w:ind w:left="0" w:firstLine="0"/>
        <w:rPr>
          <w:color w:val="0000FF"/>
        </w:rPr>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Default="00496AF8" w:rsidP="002E2177">
      <w:pPr>
        <w:ind w:left="0" w:firstLine="0"/>
      </w:pPr>
    </w:p>
    <w:p w14:paraId="24E636A4" w14:textId="77777777" w:rsidR="007A6839" w:rsidRDefault="003823F2" w:rsidP="002E2177">
      <w:pPr>
        <w:ind w:left="0" w:firstLine="0"/>
        <w:rPr>
          <w:color w:val="0000FF"/>
        </w:rPr>
      </w:pPr>
      <w:r w:rsidRPr="00D56F02">
        <w:rPr>
          <w:color w:val="0000FF"/>
        </w:rPr>
        <w:t xml:space="preserve">Because all antiplatelet drugs interfere with normal blood clotting, the most common side effect or risk associated with using them is bleeding. Bleeding risks range from the very minor, such as nose bleeds, to major, life-threatening events such as bleeding into the brain. </w:t>
      </w:r>
    </w:p>
    <w:p w14:paraId="3BA1FAA7" w14:textId="77777777" w:rsidR="007A6839" w:rsidRDefault="007A6839" w:rsidP="002E2177">
      <w:pPr>
        <w:ind w:left="0" w:firstLine="0"/>
        <w:rPr>
          <w:color w:val="0000FF"/>
        </w:rPr>
      </w:pPr>
    </w:p>
    <w:p w14:paraId="2150B4D8" w14:textId="706AA9DB" w:rsidR="003823F2" w:rsidRPr="00D56F02" w:rsidRDefault="0016210E" w:rsidP="002E2177">
      <w:pPr>
        <w:ind w:left="0" w:firstLine="0"/>
        <w:rPr>
          <w:color w:val="0000FF"/>
        </w:rPr>
      </w:pPr>
      <w:r>
        <w:rPr>
          <w:color w:val="0000FF"/>
        </w:rPr>
        <w:t xml:space="preserve">In addition to the main outcomes of </w:t>
      </w:r>
      <w:r w:rsidRPr="0016210E">
        <w:rPr>
          <w:color w:val="0000FF"/>
        </w:rPr>
        <w:t xml:space="preserve">non-fatal myocardial infarctions, non-fatal stroke (subdivided into intracranial hemorrhages and strokes of ischemic or unknown etiology), </w:t>
      </w:r>
      <w:r>
        <w:rPr>
          <w:color w:val="0000FF"/>
        </w:rPr>
        <w:t>and</w:t>
      </w:r>
      <w:r w:rsidRPr="0016210E">
        <w:rPr>
          <w:color w:val="0000FF"/>
        </w:rPr>
        <w:t xml:space="preserve"> vascular death</w:t>
      </w:r>
      <w:r>
        <w:rPr>
          <w:color w:val="0000FF"/>
        </w:rPr>
        <w:t xml:space="preserve">, the </w:t>
      </w:r>
      <w:r w:rsidR="00C5473D" w:rsidRPr="00D56F02">
        <w:rPr>
          <w:color w:val="0000FF"/>
        </w:rPr>
        <w:t xml:space="preserve">ATT Collaboration Meta-Analysis </w:t>
      </w:r>
      <w:r w:rsidR="007A6839">
        <w:rPr>
          <w:color w:val="0000FF"/>
        </w:rPr>
        <w:t>also studied</w:t>
      </w:r>
      <w:r>
        <w:rPr>
          <w:color w:val="0000FF"/>
        </w:rPr>
        <w:t xml:space="preserve"> </w:t>
      </w:r>
      <w:proofErr w:type="spellStart"/>
      <w:r w:rsidR="00C5473D" w:rsidRPr="00D56F02">
        <w:rPr>
          <w:color w:val="0000FF"/>
        </w:rPr>
        <w:t>extracranial</w:t>
      </w:r>
      <w:proofErr w:type="spellEnd"/>
      <w:r w:rsidR="00C5473D" w:rsidRPr="00D56F02">
        <w:rPr>
          <w:color w:val="0000FF"/>
        </w:rPr>
        <w:t xml:space="preserve"> bleeding</w:t>
      </w:r>
      <w:r w:rsidR="007A6839">
        <w:rPr>
          <w:color w:val="0000FF"/>
        </w:rPr>
        <w:t xml:space="preserve"> as a potential harm</w:t>
      </w:r>
      <w:r>
        <w:rPr>
          <w:color w:val="0000FF"/>
        </w:rPr>
        <w:t>. The</w:t>
      </w:r>
      <w:r w:rsidR="00C5473D" w:rsidRPr="00D56F02">
        <w:rPr>
          <w:color w:val="0000FF"/>
        </w:rPr>
        <w:t xml:space="preserve"> benefits of antiplatelet therapy were found to </w:t>
      </w:r>
      <w:r w:rsidR="0016495B" w:rsidRPr="00D56F02">
        <w:rPr>
          <w:color w:val="0000FF"/>
        </w:rPr>
        <w:t xml:space="preserve">far </w:t>
      </w:r>
      <w:r w:rsidR="00C5473D" w:rsidRPr="00D56F02">
        <w:rPr>
          <w:color w:val="0000FF"/>
        </w:rPr>
        <w:t>exceed that harm</w:t>
      </w:r>
      <w:r w:rsidR="007A6839">
        <w:rPr>
          <w:color w:val="0000FF"/>
        </w:rPr>
        <w:t xml:space="preserve"> (</w:t>
      </w:r>
      <w:r>
        <w:rPr>
          <w:color w:val="0000FF"/>
        </w:rPr>
        <w:t>as well as the others</w:t>
      </w:r>
      <w:r w:rsidR="007A6839">
        <w:rPr>
          <w:color w:val="0000FF"/>
        </w:rPr>
        <w:t>)</w:t>
      </w:r>
      <w:r w:rsidR="00C5473D" w:rsidRPr="00D56F02">
        <w:rPr>
          <w:color w:val="0000FF"/>
        </w:rPr>
        <w:t xml:space="preserve"> in patients at an increased risk of occlusive vascular events.</w:t>
      </w:r>
    </w:p>
    <w:p w14:paraId="244F9611" w14:textId="77777777" w:rsidR="00C5473D" w:rsidRDefault="00C5473D" w:rsidP="002E2177">
      <w:pPr>
        <w:ind w:left="0" w:firstLine="0"/>
        <w:rPr>
          <w:color w:val="0033CC"/>
        </w:rPr>
      </w:pP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Default="00837121" w:rsidP="002E2177">
      <w:pPr>
        <w:ind w:left="0" w:firstLine="0"/>
        <w:rPr>
          <w:b/>
          <w:color w:val="0033CC"/>
        </w:rPr>
      </w:pPr>
    </w:p>
    <w:p w14:paraId="4BFCEAC8" w14:textId="0379FB49" w:rsidR="006E5905" w:rsidRPr="00D56F02" w:rsidRDefault="006E5905" w:rsidP="002E2177">
      <w:pPr>
        <w:ind w:left="0" w:firstLine="0"/>
        <w:rPr>
          <w:b/>
          <w:color w:val="0000FF"/>
        </w:rPr>
      </w:pPr>
      <w:r w:rsidRPr="00D56F02">
        <w:rPr>
          <w:color w:val="0000FF"/>
        </w:rPr>
        <w:t>Since the publication of the 2002 ATT Collaboration Meta-Analysis, there have been m</w:t>
      </w:r>
      <w:r w:rsidR="003800DF">
        <w:rPr>
          <w:color w:val="0000FF"/>
        </w:rPr>
        <w:t>any</w:t>
      </w:r>
      <w:r w:rsidRPr="00D56F02">
        <w:rPr>
          <w:color w:val="0000FF"/>
        </w:rPr>
        <w:t xml:space="preserve"> (&gt;100) studies and systematic reviews focused on the use of antiplatelet therapy as secondary prevention, none of which conflict with the ATT Collaboration findings.</w:t>
      </w:r>
      <w:r w:rsidR="00F432FD" w:rsidRPr="00D56F02">
        <w:rPr>
          <w:color w:val="0000FF"/>
        </w:rPr>
        <w:t xml:space="preserve"> </w:t>
      </w:r>
    </w:p>
    <w:p w14:paraId="40C7D0D3" w14:textId="77777777" w:rsidR="006E5905" w:rsidRPr="003B1CC5" w:rsidRDefault="006E5905"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Pr="003B1CC5" w:rsidRDefault="00837121" w:rsidP="002E2177">
      <w:pPr>
        <w:ind w:left="0" w:firstLine="0"/>
      </w:pPr>
    </w:p>
    <w:p w14:paraId="5208796E" w14:textId="6A436EB8" w:rsidR="00375838"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45C4B565" w14:textId="77777777" w:rsidR="00375838" w:rsidRPr="00375838" w:rsidRDefault="00375838" w:rsidP="00375838"/>
    <w:p w14:paraId="28DACFAA" w14:textId="77777777" w:rsidR="00375838" w:rsidRPr="00375838" w:rsidRDefault="00375838" w:rsidP="00375838"/>
    <w:p w14:paraId="37FB75CA" w14:textId="6D5D7A28" w:rsidR="00375838" w:rsidRDefault="00375838" w:rsidP="00375838"/>
    <w:p w14:paraId="362442B9" w14:textId="77777777" w:rsidR="00837121" w:rsidRPr="00375838" w:rsidRDefault="00837121" w:rsidP="00375838"/>
    <w:sectPr w:rsidR="00837121" w:rsidRPr="00375838">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087971" w14:textId="77777777" w:rsidR="00440687" w:rsidRDefault="00440687" w:rsidP="007E37A5">
      <w:r>
        <w:separator/>
      </w:r>
    </w:p>
  </w:endnote>
  <w:endnote w:type="continuationSeparator" w:id="0">
    <w:p w14:paraId="52087972" w14:textId="77777777"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43172">
      <w:rPr>
        <w:noProof/>
      </w:rPr>
      <w:t>9</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8796F" w14:textId="77777777" w:rsidR="00440687" w:rsidRDefault="00440687" w:rsidP="007E37A5">
      <w:r>
        <w:separator/>
      </w:r>
    </w:p>
  </w:footnote>
  <w:footnote w:type="continuationSeparator" w:id="0">
    <w:p w14:paraId="52087970" w14:textId="77777777"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9C14F1"/>
    <w:multiLevelType w:val="hybridMultilevel"/>
    <w:tmpl w:val="A174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C2C6053"/>
    <w:multiLevelType w:val="hybridMultilevel"/>
    <w:tmpl w:val="06D45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2"/>
  </w:num>
  <w:num w:numId="7">
    <w:abstractNumId w:val="9"/>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53EF6"/>
    <w:rsid w:val="00061CF3"/>
    <w:rsid w:val="00063601"/>
    <w:rsid w:val="0006685E"/>
    <w:rsid w:val="0006749A"/>
    <w:rsid w:val="000729AE"/>
    <w:rsid w:val="00073079"/>
    <w:rsid w:val="00075645"/>
    <w:rsid w:val="0007593F"/>
    <w:rsid w:val="000848ED"/>
    <w:rsid w:val="00095EC9"/>
    <w:rsid w:val="00096A37"/>
    <w:rsid w:val="000A0810"/>
    <w:rsid w:val="000B627F"/>
    <w:rsid w:val="000D649E"/>
    <w:rsid w:val="000D6D06"/>
    <w:rsid w:val="000E6A0C"/>
    <w:rsid w:val="000F086C"/>
    <w:rsid w:val="00114848"/>
    <w:rsid w:val="00120934"/>
    <w:rsid w:val="00132070"/>
    <w:rsid w:val="00141875"/>
    <w:rsid w:val="0014347E"/>
    <w:rsid w:val="00144B15"/>
    <w:rsid w:val="00154438"/>
    <w:rsid w:val="001551F6"/>
    <w:rsid w:val="0015535B"/>
    <w:rsid w:val="00162036"/>
    <w:rsid w:val="0016210E"/>
    <w:rsid w:val="001632DD"/>
    <w:rsid w:val="0016495B"/>
    <w:rsid w:val="00172153"/>
    <w:rsid w:val="00176E60"/>
    <w:rsid w:val="001943A7"/>
    <w:rsid w:val="00194D9A"/>
    <w:rsid w:val="001A196B"/>
    <w:rsid w:val="001A49B2"/>
    <w:rsid w:val="001A6D05"/>
    <w:rsid w:val="001B38BF"/>
    <w:rsid w:val="001B772D"/>
    <w:rsid w:val="001D5B5D"/>
    <w:rsid w:val="001D76F5"/>
    <w:rsid w:val="001E6153"/>
    <w:rsid w:val="001F48FB"/>
    <w:rsid w:val="00201FF9"/>
    <w:rsid w:val="00202F16"/>
    <w:rsid w:val="00205857"/>
    <w:rsid w:val="0021351D"/>
    <w:rsid w:val="00235ADC"/>
    <w:rsid w:val="00236F87"/>
    <w:rsid w:val="002650EF"/>
    <w:rsid w:val="00265702"/>
    <w:rsid w:val="002662B2"/>
    <w:rsid w:val="002717C7"/>
    <w:rsid w:val="002825E6"/>
    <w:rsid w:val="00286ECC"/>
    <w:rsid w:val="002875E9"/>
    <w:rsid w:val="00287EB3"/>
    <w:rsid w:val="002A47BA"/>
    <w:rsid w:val="002A6777"/>
    <w:rsid w:val="002B06BD"/>
    <w:rsid w:val="002B3C67"/>
    <w:rsid w:val="002C0E48"/>
    <w:rsid w:val="002C492A"/>
    <w:rsid w:val="002C6F04"/>
    <w:rsid w:val="002E0CEF"/>
    <w:rsid w:val="002E2177"/>
    <w:rsid w:val="002E2E41"/>
    <w:rsid w:val="002E78CD"/>
    <w:rsid w:val="002F04A1"/>
    <w:rsid w:val="002F20A7"/>
    <w:rsid w:val="003008F4"/>
    <w:rsid w:val="00302B1D"/>
    <w:rsid w:val="00307FA5"/>
    <w:rsid w:val="00324D64"/>
    <w:rsid w:val="00337441"/>
    <w:rsid w:val="00352B52"/>
    <w:rsid w:val="0035760D"/>
    <w:rsid w:val="00363ECC"/>
    <w:rsid w:val="00375838"/>
    <w:rsid w:val="003800DF"/>
    <w:rsid w:val="003818E0"/>
    <w:rsid w:val="003823F2"/>
    <w:rsid w:val="0039020B"/>
    <w:rsid w:val="00392504"/>
    <w:rsid w:val="00395263"/>
    <w:rsid w:val="003956E0"/>
    <w:rsid w:val="0039609A"/>
    <w:rsid w:val="00397500"/>
    <w:rsid w:val="003B0F1B"/>
    <w:rsid w:val="003B1CC5"/>
    <w:rsid w:val="003B65CE"/>
    <w:rsid w:val="003E039E"/>
    <w:rsid w:val="00422917"/>
    <w:rsid w:val="00440687"/>
    <w:rsid w:val="0044131D"/>
    <w:rsid w:val="00441ADA"/>
    <w:rsid w:val="004465E8"/>
    <w:rsid w:val="00457E46"/>
    <w:rsid w:val="00496AF8"/>
    <w:rsid w:val="004A575D"/>
    <w:rsid w:val="004B65C6"/>
    <w:rsid w:val="004D1DC7"/>
    <w:rsid w:val="004E7AB1"/>
    <w:rsid w:val="004F1A0D"/>
    <w:rsid w:val="004F7D7E"/>
    <w:rsid w:val="00500B0C"/>
    <w:rsid w:val="00537150"/>
    <w:rsid w:val="00540984"/>
    <w:rsid w:val="00543851"/>
    <w:rsid w:val="0055559D"/>
    <w:rsid w:val="005569AE"/>
    <w:rsid w:val="00570D78"/>
    <w:rsid w:val="00577E81"/>
    <w:rsid w:val="005857F8"/>
    <w:rsid w:val="005B0D18"/>
    <w:rsid w:val="005B12C3"/>
    <w:rsid w:val="005B409D"/>
    <w:rsid w:val="005D0FDB"/>
    <w:rsid w:val="005D25E9"/>
    <w:rsid w:val="005D6D59"/>
    <w:rsid w:val="006070EC"/>
    <w:rsid w:val="00617390"/>
    <w:rsid w:val="00623420"/>
    <w:rsid w:val="0062698B"/>
    <w:rsid w:val="00634768"/>
    <w:rsid w:val="0063596F"/>
    <w:rsid w:val="0064178E"/>
    <w:rsid w:val="006501F0"/>
    <w:rsid w:val="006709EB"/>
    <w:rsid w:val="00672824"/>
    <w:rsid w:val="0068184A"/>
    <w:rsid w:val="006B5C51"/>
    <w:rsid w:val="006C7F30"/>
    <w:rsid w:val="006D0CE7"/>
    <w:rsid w:val="006E5905"/>
    <w:rsid w:val="006E6FDD"/>
    <w:rsid w:val="006F4B7F"/>
    <w:rsid w:val="006F760B"/>
    <w:rsid w:val="00701CC3"/>
    <w:rsid w:val="00702C31"/>
    <w:rsid w:val="00716CD2"/>
    <w:rsid w:val="00724801"/>
    <w:rsid w:val="00734949"/>
    <w:rsid w:val="00736AEC"/>
    <w:rsid w:val="00736E0F"/>
    <w:rsid w:val="007434FA"/>
    <w:rsid w:val="007573F0"/>
    <w:rsid w:val="00765156"/>
    <w:rsid w:val="00767669"/>
    <w:rsid w:val="00773485"/>
    <w:rsid w:val="00776E8F"/>
    <w:rsid w:val="00776F6D"/>
    <w:rsid w:val="007A6839"/>
    <w:rsid w:val="007C0297"/>
    <w:rsid w:val="007C1887"/>
    <w:rsid w:val="007D4775"/>
    <w:rsid w:val="007D5DC6"/>
    <w:rsid w:val="007E37A5"/>
    <w:rsid w:val="007F49D8"/>
    <w:rsid w:val="008015D4"/>
    <w:rsid w:val="00805940"/>
    <w:rsid w:val="008356BE"/>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F1DC6"/>
    <w:rsid w:val="00905C5B"/>
    <w:rsid w:val="009066C6"/>
    <w:rsid w:val="00923295"/>
    <w:rsid w:val="00925F11"/>
    <w:rsid w:val="00935265"/>
    <w:rsid w:val="0094689F"/>
    <w:rsid w:val="009477D6"/>
    <w:rsid w:val="00953ED3"/>
    <w:rsid w:val="00965FF6"/>
    <w:rsid w:val="009846D6"/>
    <w:rsid w:val="0098657F"/>
    <w:rsid w:val="00996564"/>
    <w:rsid w:val="009A13DB"/>
    <w:rsid w:val="009A3236"/>
    <w:rsid w:val="009A58D2"/>
    <w:rsid w:val="009B5A93"/>
    <w:rsid w:val="009B5BEA"/>
    <w:rsid w:val="009C291F"/>
    <w:rsid w:val="009E37BD"/>
    <w:rsid w:val="009E6B86"/>
    <w:rsid w:val="00A03301"/>
    <w:rsid w:val="00A11044"/>
    <w:rsid w:val="00A12762"/>
    <w:rsid w:val="00A13867"/>
    <w:rsid w:val="00A21A05"/>
    <w:rsid w:val="00A26FED"/>
    <w:rsid w:val="00A421D4"/>
    <w:rsid w:val="00A44FF0"/>
    <w:rsid w:val="00A50E55"/>
    <w:rsid w:val="00A623B7"/>
    <w:rsid w:val="00A67EB1"/>
    <w:rsid w:val="00A91A47"/>
    <w:rsid w:val="00A95D2B"/>
    <w:rsid w:val="00AA22B5"/>
    <w:rsid w:val="00AA5587"/>
    <w:rsid w:val="00AC1E53"/>
    <w:rsid w:val="00AD79C8"/>
    <w:rsid w:val="00AE15DC"/>
    <w:rsid w:val="00AE20B2"/>
    <w:rsid w:val="00AE6CE0"/>
    <w:rsid w:val="00B058A6"/>
    <w:rsid w:val="00B117D0"/>
    <w:rsid w:val="00B13998"/>
    <w:rsid w:val="00B14B17"/>
    <w:rsid w:val="00B439DD"/>
    <w:rsid w:val="00B52E0F"/>
    <w:rsid w:val="00B62423"/>
    <w:rsid w:val="00B70E30"/>
    <w:rsid w:val="00B72931"/>
    <w:rsid w:val="00B74629"/>
    <w:rsid w:val="00B91F58"/>
    <w:rsid w:val="00BA579E"/>
    <w:rsid w:val="00BE0D8D"/>
    <w:rsid w:val="00BE2295"/>
    <w:rsid w:val="00BE6373"/>
    <w:rsid w:val="00BF533A"/>
    <w:rsid w:val="00C43247"/>
    <w:rsid w:val="00C46677"/>
    <w:rsid w:val="00C5180E"/>
    <w:rsid w:val="00C5473D"/>
    <w:rsid w:val="00C54E40"/>
    <w:rsid w:val="00C55F56"/>
    <w:rsid w:val="00C57BA4"/>
    <w:rsid w:val="00C60783"/>
    <w:rsid w:val="00C613EB"/>
    <w:rsid w:val="00C84623"/>
    <w:rsid w:val="00CB06C9"/>
    <w:rsid w:val="00CB1E41"/>
    <w:rsid w:val="00CB271C"/>
    <w:rsid w:val="00CC1E68"/>
    <w:rsid w:val="00CE4F96"/>
    <w:rsid w:val="00CF0AB1"/>
    <w:rsid w:val="00CF4B9B"/>
    <w:rsid w:val="00CF55E6"/>
    <w:rsid w:val="00CF772F"/>
    <w:rsid w:val="00D048DB"/>
    <w:rsid w:val="00D11EA0"/>
    <w:rsid w:val="00D14F0B"/>
    <w:rsid w:val="00D178CA"/>
    <w:rsid w:val="00D3311C"/>
    <w:rsid w:val="00D53405"/>
    <w:rsid w:val="00D5457B"/>
    <w:rsid w:val="00D56F02"/>
    <w:rsid w:val="00D720CD"/>
    <w:rsid w:val="00D72995"/>
    <w:rsid w:val="00DA7FA2"/>
    <w:rsid w:val="00DC2D8D"/>
    <w:rsid w:val="00DD0C9F"/>
    <w:rsid w:val="00DD79E3"/>
    <w:rsid w:val="00DE1F5D"/>
    <w:rsid w:val="00DE50D8"/>
    <w:rsid w:val="00DF278A"/>
    <w:rsid w:val="00E1664B"/>
    <w:rsid w:val="00E30D12"/>
    <w:rsid w:val="00E3394E"/>
    <w:rsid w:val="00E35241"/>
    <w:rsid w:val="00E41417"/>
    <w:rsid w:val="00E43172"/>
    <w:rsid w:val="00E44B86"/>
    <w:rsid w:val="00E536D3"/>
    <w:rsid w:val="00E57BE2"/>
    <w:rsid w:val="00E62A95"/>
    <w:rsid w:val="00E63D0F"/>
    <w:rsid w:val="00E746A2"/>
    <w:rsid w:val="00E90D06"/>
    <w:rsid w:val="00E97E59"/>
    <w:rsid w:val="00EA3D93"/>
    <w:rsid w:val="00EA79C9"/>
    <w:rsid w:val="00EB66AC"/>
    <w:rsid w:val="00EC2247"/>
    <w:rsid w:val="00EE1F87"/>
    <w:rsid w:val="00EE3931"/>
    <w:rsid w:val="00EE5AF6"/>
    <w:rsid w:val="00EF2CEF"/>
    <w:rsid w:val="00F1092D"/>
    <w:rsid w:val="00F11199"/>
    <w:rsid w:val="00F42C20"/>
    <w:rsid w:val="00F431D8"/>
    <w:rsid w:val="00F432FD"/>
    <w:rsid w:val="00F67706"/>
    <w:rsid w:val="00F8089E"/>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20878E2"/>
  <w15:docId w15:val="{D252B104-B115-492E-88D6-75C7C16B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783"/>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circ.ahajournals.org/content/124/22/245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www.bmj.com/content/324/7329/71.lon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troke.ahajournals.org/content/early/2014/04/30/STR.000000000000002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296D1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B7F60-9890-4314-950D-C50DCBD6061D}">
  <ds:schemaRefs>
    <ds:schemaRef ds:uri="836b82f1-340d-495e-85b5-201c5296619a"/>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term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3.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5.xml><?xml version="1.0" encoding="utf-8"?>
<ds:datastoreItem xmlns:ds="http://schemas.openxmlformats.org/officeDocument/2006/customXml" ds:itemID="{B9445694-F118-443F-9D75-782ACF409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3868</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25865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Daniel Roman</cp:lastModifiedBy>
  <cp:revision>5</cp:revision>
  <dcterms:created xsi:type="dcterms:W3CDTF">2015-06-30T17:45:00Z</dcterms:created>
  <dcterms:modified xsi:type="dcterms:W3CDTF">2015-06-30T19:02:00Z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